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C9B0" w14:textId="22C8EE01" w:rsidR="0079726C" w:rsidRDefault="0079726C" w:rsidP="0079726C">
      <w:pPr>
        <w:pStyle w:val="Heading1"/>
        <w:keepLines/>
        <w:topLinePunct/>
        <w:ind w:left="0"/>
        <w:textAlignment w:val="top"/>
        <w:rPr>
          <w:rFonts w:eastAsia="SimSun" w:hAnsi="Arial Bold" w:cs="Arial Bold"/>
          <w:bCs w:val="0"/>
        </w:rPr>
      </w:pPr>
      <w:r>
        <w:rPr>
          <w:rFonts w:eastAsia="SimSun" w:hAnsi="Arial Bold" w:cs="Arial Bold"/>
          <w:bCs w:val="0"/>
        </w:rPr>
        <w:t>Mayor</w:t>
      </w:r>
      <w:r>
        <w:rPr>
          <w:rFonts w:eastAsia="SimSun" w:hAnsi="Arial Bold" w:cs="Arial Bold"/>
          <w:bCs w:val="0"/>
        </w:rPr>
        <w:t>’</w:t>
      </w:r>
      <w:r>
        <w:rPr>
          <w:rFonts w:eastAsia="SimSun" w:hAnsi="Arial Bold" w:cs="Arial Bold"/>
          <w:bCs w:val="0"/>
        </w:rPr>
        <w:t>s Office of Criminal Justic</w:t>
      </w:r>
      <w:r w:rsidR="00586761">
        <w:rPr>
          <w:rFonts w:eastAsia="SimSun" w:hAnsi="Arial Bold" w:cs="Arial Bold"/>
          <w:bCs w:val="0"/>
        </w:rPr>
        <w:t>e</w:t>
      </w:r>
    </w:p>
    <w:p w14:paraId="1B54B1EF" w14:textId="77777777" w:rsidR="0079726C" w:rsidRDefault="0079726C" w:rsidP="0079726C">
      <w:pPr>
        <w:keepLines/>
        <w:topLinePunct/>
        <w:textAlignment w:val="top"/>
        <w:rPr>
          <w:rFonts w:eastAsia="SimSun" w:hAnsi="Arial Bold" w:cs="Arial Bold"/>
          <w:b/>
        </w:rPr>
      </w:pPr>
      <w:r>
        <w:rPr>
          <w:rFonts w:eastAsia="SimSun" w:hAnsi="Arial Bold" w:cs="Arial Bold"/>
          <w:b/>
        </w:rPr>
        <w:t>Biannual Report on Progress Towards Closing Jails on Rikers</w:t>
      </w:r>
      <w:r>
        <w:rPr>
          <w:rFonts w:eastAsia="SimSun" w:hAnsi="Arial Bold" w:cs="Arial Bold"/>
          <w:b/>
          <w:spacing w:val="-31"/>
        </w:rPr>
        <w:t xml:space="preserve"> </w:t>
      </w:r>
      <w:r>
        <w:rPr>
          <w:rFonts w:eastAsia="SimSun" w:hAnsi="Arial Bold" w:cs="Arial Bold"/>
          <w:b/>
        </w:rPr>
        <w:t>Island Local Law</w:t>
      </w:r>
      <w:r>
        <w:rPr>
          <w:rFonts w:eastAsia="SimSun" w:hAnsi="Arial Bold" w:cs="Arial Bold"/>
          <w:b/>
          <w:spacing w:val="-1"/>
        </w:rPr>
        <w:t xml:space="preserve"> </w:t>
      </w:r>
      <w:r>
        <w:rPr>
          <w:rFonts w:eastAsia="SimSun" w:hAnsi="Arial Bold" w:cs="Arial Bold"/>
          <w:b/>
        </w:rPr>
        <w:t>192</w:t>
      </w:r>
    </w:p>
    <w:p w14:paraId="1B3ADB6B" w14:textId="77777777" w:rsidR="0079726C" w:rsidRDefault="0079726C" w:rsidP="00E26A38">
      <w:pPr>
        <w:pStyle w:val="BodyText"/>
        <w:keepLines/>
        <w:topLinePunct/>
        <w:spacing w:after="0" w:line="240" w:lineRule="auto"/>
        <w:textAlignment w:val="top"/>
        <w:rPr>
          <w:rFonts w:eastAsia="SimSun" w:hAnsi="Arial Bold" w:cs="Arial Bold"/>
          <w:b/>
        </w:rPr>
      </w:pPr>
    </w:p>
    <w:p w14:paraId="3C005730" w14:textId="77777777" w:rsidR="0079726C" w:rsidRDefault="0079726C" w:rsidP="0079726C">
      <w:pPr>
        <w:keepLines/>
        <w:topLinePunct/>
        <w:textAlignment w:val="top"/>
        <w:rPr>
          <w:rFonts w:eastAsia="SimSun" w:hAnsi="Arial Bold" w:cs="Arial Bold"/>
          <w:b/>
        </w:rPr>
      </w:pPr>
      <w:r>
        <w:rPr>
          <w:rFonts w:eastAsia="SimSun" w:hAnsi="Arial Bold" w:cs="Arial Bold"/>
          <w:b/>
        </w:rPr>
        <w:t>Introduction</w:t>
      </w:r>
    </w:p>
    <w:p w14:paraId="741D9291" w14:textId="24C084DC" w:rsidR="0079726C" w:rsidRDefault="0079726C" w:rsidP="0079726C">
      <w:pPr>
        <w:pStyle w:val="BodyText"/>
        <w:keepLines/>
        <w:topLinePunct/>
        <w:textAlignment w:val="top"/>
        <w:rPr>
          <w:rFonts w:eastAsia="SimSun" w:hAnsi="Arial" w:cs="Arial"/>
        </w:rPr>
      </w:pPr>
      <w:r>
        <w:rPr>
          <w:rFonts w:eastAsia="SimSun" w:hAnsi="Arial" w:cs="Arial"/>
        </w:rPr>
        <w:t>This report, submitted by the Mayor</w:t>
      </w:r>
      <w:r>
        <w:rPr>
          <w:rFonts w:eastAsia="SimSun" w:hAnsi="Arial" w:cs="Arial"/>
        </w:rPr>
        <w:t>’</w:t>
      </w:r>
      <w:r>
        <w:rPr>
          <w:rFonts w:eastAsia="SimSun" w:hAnsi="Arial" w:cs="Arial"/>
        </w:rPr>
        <w:t>s Office of Criminal Justice (MOCJ) to the City Council in compliance</w:t>
      </w:r>
      <w:r>
        <w:rPr>
          <w:rFonts w:eastAsia="SimSun" w:hAnsi="Arial" w:cs="Arial"/>
          <w:spacing w:val="-5"/>
        </w:rPr>
        <w:t xml:space="preserve"> </w:t>
      </w:r>
      <w:r>
        <w:rPr>
          <w:rFonts w:eastAsia="SimSun" w:hAnsi="Arial" w:cs="Arial"/>
        </w:rPr>
        <w:t>with</w:t>
      </w:r>
      <w:r>
        <w:rPr>
          <w:rFonts w:eastAsia="SimSun" w:hAnsi="Arial" w:cs="Arial"/>
          <w:spacing w:val="-3"/>
        </w:rPr>
        <w:t xml:space="preserve"> </w:t>
      </w:r>
      <w:r>
        <w:rPr>
          <w:rFonts w:eastAsia="SimSun" w:hAnsi="Arial" w:cs="Arial"/>
        </w:rPr>
        <w:t>Local</w:t>
      </w:r>
      <w:r>
        <w:rPr>
          <w:rFonts w:eastAsia="SimSun" w:hAnsi="Arial" w:cs="Arial"/>
          <w:spacing w:val="-5"/>
        </w:rPr>
        <w:t xml:space="preserve"> </w:t>
      </w:r>
      <w:r>
        <w:rPr>
          <w:rFonts w:eastAsia="SimSun" w:hAnsi="Arial" w:cs="Arial"/>
        </w:rPr>
        <w:t>Law</w:t>
      </w:r>
      <w:r>
        <w:rPr>
          <w:rFonts w:eastAsia="SimSun" w:hAnsi="Arial" w:cs="Arial"/>
          <w:spacing w:val="-4"/>
        </w:rPr>
        <w:t xml:space="preserve"> </w:t>
      </w:r>
      <w:r>
        <w:rPr>
          <w:rFonts w:eastAsia="SimSun" w:hAnsi="Arial" w:cs="Arial"/>
        </w:rPr>
        <w:t>192</w:t>
      </w:r>
      <w:r>
        <w:rPr>
          <w:rFonts w:eastAsia="SimSun" w:hAnsi="Arial" w:cs="Arial"/>
          <w:spacing w:val="-2"/>
        </w:rPr>
        <w:t xml:space="preserve"> </w:t>
      </w:r>
      <w:r>
        <w:rPr>
          <w:rFonts w:eastAsia="SimSun" w:hAnsi="Arial" w:cs="Arial"/>
        </w:rPr>
        <w:t>of</w:t>
      </w:r>
      <w:r>
        <w:rPr>
          <w:rFonts w:eastAsia="SimSun" w:hAnsi="Arial" w:cs="Arial"/>
          <w:spacing w:val="-6"/>
        </w:rPr>
        <w:t xml:space="preserve"> </w:t>
      </w:r>
      <w:r>
        <w:rPr>
          <w:rFonts w:eastAsia="SimSun" w:hAnsi="Arial" w:cs="Arial"/>
        </w:rPr>
        <w:t>2019,</w:t>
      </w:r>
      <w:r>
        <w:rPr>
          <w:rFonts w:eastAsia="SimSun" w:hAnsi="Arial" w:cs="Arial"/>
          <w:spacing w:val="-2"/>
        </w:rPr>
        <w:t xml:space="preserve"> </w:t>
      </w:r>
      <w:r>
        <w:rPr>
          <w:rFonts w:eastAsia="SimSun" w:hAnsi="Arial" w:cs="Arial"/>
        </w:rPr>
        <w:t>serves</w:t>
      </w:r>
      <w:r>
        <w:rPr>
          <w:rFonts w:eastAsia="SimSun" w:hAnsi="Arial" w:cs="Arial"/>
          <w:spacing w:val="-3"/>
        </w:rPr>
        <w:t xml:space="preserve"> </w:t>
      </w:r>
      <w:r>
        <w:rPr>
          <w:rFonts w:eastAsia="SimSun" w:hAnsi="Arial" w:cs="Arial"/>
        </w:rPr>
        <w:t>as</w:t>
      </w:r>
      <w:r>
        <w:rPr>
          <w:rFonts w:eastAsia="SimSun" w:hAnsi="Arial" w:cs="Arial"/>
          <w:spacing w:val="-1"/>
        </w:rPr>
        <w:t xml:space="preserve"> </w:t>
      </w:r>
      <w:r>
        <w:rPr>
          <w:rFonts w:eastAsia="SimSun" w:hAnsi="Arial" w:cs="Arial"/>
        </w:rPr>
        <w:t>the</w:t>
      </w:r>
      <w:r>
        <w:rPr>
          <w:rFonts w:eastAsia="SimSun" w:hAnsi="Arial" w:cs="Arial"/>
          <w:spacing w:val="-3"/>
        </w:rPr>
        <w:t xml:space="preserve"> </w:t>
      </w:r>
      <w:r w:rsidR="007271CC">
        <w:rPr>
          <w:rFonts w:eastAsia="SimSun" w:hAnsi="Arial" w:cs="Arial"/>
          <w:spacing w:val="-3"/>
        </w:rPr>
        <w:t>seventh</w:t>
      </w:r>
      <w:r>
        <w:rPr>
          <w:rFonts w:eastAsia="SimSun" w:hAnsi="Arial" w:cs="Arial"/>
          <w:spacing w:val="-3"/>
        </w:rPr>
        <w:t xml:space="preserve"> </w:t>
      </w:r>
      <w:r>
        <w:rPr>
          <w:rFonts w:eastAsia="SimSun" w:hAnsi="Arial" w:cs="Arial"/>
        </w:rPr>
        <w:t>biannual</w:t>
      </w:r>
      <w:r>
        <w:rPr>
          <w:rFonts w:eastAsia="SimSun" w:hAnsi="Arial" w:cs="Arial"/>
          <w:spacing w:val="-4"/>
        </w:rPr>
        <w:t xml:space="preserve"> </w:t>
      </w:r>
      <w:r>
        <w:rPr>
          <w:rFonts w:eastAsia="SimSun" w:hAnsi="Arial" w:cs="Arial"/>
        </w:rPr>
        <w:t>report</w:t>
      </w:r>
      <w:r>
        <w:rPr>
          <w:rFonts w:eastAsia="SimSun" w:hAnsi="Arial" w:cs="Arial"/>
          <w:spacing w:val="-3"/>
        </w:rPr>
        <w:t xml:space="preserve"> </w:t>
      </w:r>
      <w:r>
        <w:rPr>
          <w:rFonts w:eastAsia="SimSun" w:hAnsi="Arial" w:cs="Arial"/>
        </w:rPr>
        <w:t>on</w:t>
      </w:r>
      <w:r>
        <w:rPr>
          <w:rFonts w:eastAsia="SimSun" w:hAnsi="Arial" w:cs="Arial"/>
          <w:spacing w:val="-4"/>
        </w:rPr>
        <w:t xml:space="preserve"> </w:t>
      </w:r>
      <w:r>
        <w:rPr>
          <w:rFonts w:eastAsia="SimSun" w:hAnsi="Arial" w:cs="Arial"/>
        </w:rPr>
        <w:t>closing</w:t>
      </w:r>
      <w:r>
        <w:rPr>
          <w:rFonts w:eastAsia="SimSun" w:hAnsi="Arial" w:cs="Arial"/>
          <w:spacing w:val="-4"/>
        </w:rPr>
        <w:t xml:space="preserve"> </w:t>
      </w:r>
      <w:r>
        <w:rPr>
          <w:rFonts w:eastAsia="SimSun" w:hAnsi="Arial" w:cs="Arial"/>
        </w:rPr>
        <w:t>jails</w:t>
      </w:r>
      <w:r>
        <w:rPr>
          <w:rFonts w:eastAsia="SimSun" w:hAnsi="Arial" w:cs="Arial"/>
          <w:spacing w:val="-2"/>
        </w:rPr>
        <w:t xml:space="preserve"> </w:t>
      </w:r>
      <w:r>
        <w:rPr>
          <w:rFonts w:eastAsia="SimSun" w:hAnsi="Arial" w:cs="Arial"/>
        </w:rPr>
        <w:t>on</w:t>
      </w:r>
      <w:r>
        <w:rPr>
          <w:rFonts w:eastAsia="SimSun" w:hAnsi="Arial" w:cs="Arial"/>
          <w:spacing w:val="-4"/>
        </w:rPr>
        <w:t xml:space="preserve"> </w:t>
      </w:r>
      <w:r>
        <w:rPr>
          <w:rFonts w:eastAsia="SimSun" w:hAnsi="Arial" w:cs="Arial"/>
        </w:rPr>
        <w:t>Rikers</w:t>
      </w:r>
      <w:r>
        <w:rPr>
          <w:rFonts w:eastAsia="SimSun" w:hAnsi="Arial" w:cs="Arial"/>
          <w:spacing w:val="-2"/>
        </w:rPr>
        <w:t xml:space="preserve"> </w:t>
      </w:r>
      <w:r>
        <w:rPr>
          <w:rFonts w:eastAsia="SimSun" w:hAnsi="Arial" w:cs="Arial"/>
        </w:rPr>
        <w:t>Island and opening jail facilities outside Rikers</w:t>
      </w:r>
      <w:r>
        <w:rPr>
          <w:rFonts w:eastAsia="SimSun" w:hAnsi="Arial" w:cs="Arial"/>
          <w:spacing w:val="-5"/>
        </w:rPr>
        <w:t xml:space="preserve"> </w:t>
      </w:r>
      <w:r>
        <w:rPr>
          <w:rFonts w:eastAsia="SimSun" w:hAnsi="Arial" w:cs="Arial"/>
        </w:rPr>
        <w:t>Island. The report covers data from January 1</w:t>
      </w:r>
      <w:r w:rsidR="00B3571D">
        <w:rPr>
          <w:rFonts w:eastAsia="SimSun" w:hAnsi="Arial" w:cs="Arial"/>
        </w:rPr>
        <w:t>st</w:t>
      </w:r>
      <w:r>
        <w:rPr>
          <w:rFonts w:eastAsia="SimSun" w:hAnsi="Arial" w:cs="Arial"/>
        </w:rPr>
        <w:t xml:space="preserve"> </w:t>
      </w:r>
      <w:r w:rsidR="00B3571D">
        <w:rPr>
          <w:rFonts w:eastAsia="SimSun" w:hAnsi="Arial" w:cs="Arial"/>
        </w:rPr>
        <w:t>to</w:t>
      </w:r>
      <w:r>
        <w:rPr>
          <w:rFonts w:eastAsia="SimSun" w:hAnsi="Arial" w:cs="Arial"/>
        </w:rPr>
        <w:t xml:space="preserve"> </w:t>
      </w:r>
      <w:r w:rsidR="007271CC">
        <w:rPr>
          <w:rFonts w:eastAsia="SimSun" w:hAnsi="Arial" w:cs="Arial"/>
        </w:rPr>
        <w:t>June 30</w:t>
      </w:r>
      <w:r>
        <w:rPr>
          <w:rFonts w:eastAsia="SimSun" w:hAnsi="Arial" w:cs="Arial"/>
        </w:rPr>
        <w:t>, 202</w:t>
      </w:r>
      <w:r w:rsidR="007271CC">
        <w:rPr>
          <w:rFonts w:eastAsia="SimSun" w:hAnsi="Arial" w:cs="Arial"/>
        </w:rPr>
        <w:t>3</w:t>
      </w:r>
      <w:r>
        <w:rPr>
          <w:rFonts w:eastAsia="SimSun" w:hAnsi="Arial" w:cs="Arial"/>
        </w:rPr>
        <w:t xml:space="preserve">. </w:t>
      </w:r>
    </w:p>
    <w:p w14:paraId="2D8CC57B" w14:textId="77777777" w:rsidR="0079726C" w:rsidRPr="009F7A55" w:rsidRDefault="0079726C" w:rsidP="0079726C">
      <w:pPr>
        <w:pStyle w:val="BodyText"/>
        <w:keepLines/>
        <w:topLinePunct/>
        <w:textAlignment w:val="top"/>
        <w:rPr>
          <w:rFonts w:eastAsia="SimSun" w:hAnsi="Arial" w:cs="Arial"/>
        </w:rPr>
      </w:pPr>
    </w:p>
    <w:p w14:paraId="0C80BC74" w14:textId="77777777" w:rsidR="0079726C" w:rsidRDefault="0079726C" w:rsidP="0079726C">
      <w:pPr>
        <w:pStyle w:val="Heading1"/>
        <w:keepLines/>
        <w:tabs>
          <w:tab w:val="left" w:pos="571"/>
        </w:tabs>
        <w:topLinePunct/>
        <w:ind w:left="0"/>
        <w:textAlignment w:val="top"/>
        <w:rPr>
          <w:rFonts w:eastAsia="SimSun" w:hAnsi="Arial Bold" w:cs="Arial Bold"/>
        </w:rPr>
      </w:pPr>
      <w:r>
        <w:rPr>
          <w:rFonts w:eastAsia="SimSun" w:hAnsi="Arial Bold" w:cs="Arial Bold"/>
        </w:rPr>
        <w:t>1. Trends in the jail population and the drivers of population changes, including the</w:t>
      </w:r>
      <w:r>
        <w:rPr>
          <w:rFonts w:eastAsia="SimSun" w:hAnsi="Arial Bold" w:cs="Arial Bold"/>
          <w:spacing w:val="-20"/>
        </w:rPr>
        <w:t xml:space="preserve"> </w:t>
      </w:r>
      <w:r>
        <w:rPr>
          <w:rFonts w:eastAsia="SimSun" w:hAnsi="Arial Bold" w:cs="Arial Bold"/>
        </w:rPr>
        <w:t>following:</w:t>
      </w:r>
    </w:p>
    <w:p w14:paraId="0DD8C783" w14:textId="77777777" w:rsidR="0079726C" w:rsidRDefault="0079726C" w:rsidP="0079726C">
      <w:pPr>
        <w:pStyle w:val="ListParagraph1"/>
        <w:keepLines/>
        <w:tabs>
          <w:tab w:val="left" w:pos="1188"/>
        </w:tabs>
        <w:topLinePunct/>
        <w:ind w:left="0"/>
        <w:textAlignment w:val="top"/>
        <w:rPr>
          <w:rFonts w:eastAsia="SimSun" w:hAnsi="Arial Bold" w:cs="Arial Bold"/>
          <w:b/>
          <w:bCs/>
        </w:rPr>
      </w:pPr>
      <w:r w:rsidRPr="00F87301">
        <w:rPr>
          <w:rFonts w:eastAsia="SimSun" w:hAnsi="Arial Bold" w:cs="Arial Bold"/>
          <w:b/>
          <w:bCs/>
        </w:rPr>
        <w:t>a.</w:t>
      </w:r>
      <w:r>
        <w:rPr>
          <w:rFonts w:eastAsia="SimSun" w:hAnsi="Arial Bold" w:cs="Arial Bold"/>
          <w:b/>
          <w:bCs/>
        </w:rPr>
        <w:t xml:space="preserve">  The average daily population in total and disaggregated by facility, by borough of arrest, and in the following categories: pretrial, sentenced, technical parole violation, pretrial with parole violations, and</w:t>
      </w:r>
      <w:r>
        <w:rPr>
          <w:rFonts w:eastAsia="SimSun" w:hAnsi="Arial Bold" w:cs="Arial Bold"/>
          <w:b/>
          <w:bCs/>
          <w:spacing w:val="-1"/>
        </w:rPr>
        <w:t xml:space="preserve"> </w:t>
      </w:r>
      <w:r>
        <w:rPr>
          <w:rFonts w:eastAsia="SimSun" w:hAnsi="Arial Bold" w:cs="Arial Bold"/>
          <w:b/>
          <w:bCs/>
        </w:rPr>
        <w:t>other.</w:t>
      </w:r>
    </w:p>
    <w:tbl>
      <w:tblPr>
        <w:tblW w:w="8980" w:type="dxa"/>
        <w:tblLook w:val="04A0" w:firstRow="1" w:lastRow="0" w:firstColumn="1" w:lastColumn="0" w:noHBand="0" w:noVBand="1"/>
      </w:tblPr>
      <w:tblGrid>
        <w:gridCol w:w="5200"/>
        <w:gridCol w:w="1260"/>
        <w:gridCol w:w="1180"/>
        <w:gridCol w:w="1340"/>
      </w:tblGrid>
      <w:tr w:rsidR="00103DD8" w:rsidRPr="00103DD8" w14:paraId="7C185D55" w14:textId="77777777" w:rsidTr="00103DD8">
        <w:trPr>
          <w:trHeight w:val="315"/>
        </w:trPr>
        <w:tc>
          <w:tcPr>
            <w:tcW w:w="5200" w:type="dxa"/>
            <w:tcBorders>
              <w:top w:val="nil"/>
              <w:left w:val="nil"/>
              <w:bottom w:val="nil"/>
              <w:right w:val="nil"/>
            </w:tcBorders>
            <w:shd w:val="clear" w:color="auto" w:fill="auto"/>
            <w:noWrap/>
            <w:vAlign w:val="bottom"/>
            <w:hideMark/>
          </w:tcPr>
          <w:p w14:paraId="47CA62A5" w14:textId="77777777" w:rsidR="00103DD8" w:rsidRPr="00103DD8" w:rsidRDefault="00103DD8" w:rsidP="00103DD8">
            <w:pPr>
              <w:widowControl/>
              <w:autoSpaceDE/>
              <w:autoSpaceDN/>
              <w:spacing w:after="0" w:line="240" w:lineRule="auto"/>
              <w:rPr>
                <w:rFonts w:eastAsia="Times New Roman"/>
                <w:b/>
                <w:bCs/>
                <w:color w:val="000000"/>
                <w:lang w:bidi="ar-SA"/>
              </w:rPr>
            </w:pPr>
            <w:bookmarkStart w:id="0" w:name="_Hlk110947150"/>
            <w:r w:rsidRPr="00103DD8">
              <w:rPr>
                <w:rFonts w:eastAsia="Times New Roman"/>
                <w:b/>
                <w:bCs/>
                <w:color w:val="000000"/>
                <w:lang w:bidi="ar-SA"/>
              </w:rPr>
              <w:t>Chart 1. Average Daily Population (ADP) by Facility</w:t>
            </w:r>
          </w:p>
        </w:tc>
        <w:tc>
          <w:tcPr>
            <w:tcW w:w="1260" w:type="dxa"/>
            <w:tcBorders>
              <w:top w:val="nil"/>
              <w:left w:val="nil"/>
              <w:bottom w:val="nil"/>
              <w:right w:val="nil"/>
            </w:tcBorders>
            <w:shd w:val="clear" w:color="auto" w:fill="auto"/>
            <w:noWrap/>
            <w:vAlign w:val="bottom"/>
            <w:hideMark/>
          </w:tcPr>
          <w:p w14:paraId="3A372C95" w14:textId="77777777" w:rsidR="00103DD8" w:rsidRPr="00103DD8" w:rsidRDefault="00103DD8" w:rsidP="00103DD8">
            <w:pPr>
              <w:widowControl/>
              <w:autoSpaceDE/>
              <w:autoSpaceDN/>
              <w:spacing w:after="0" w:line="240" w:lineRule="auto"/>
              <w:rPr>
                <w:rFonts w:eastAsia="Times New Roman"/>
                <w:b/>
                <w:bCs/>
                <w:color w:val="000000"/>
                <w:lang w:bidi="ar-SA"/>
              </w:rPr>
            </w:pPr>
          </w:p>
        </w:tc>
        <w:tc>
          <w:tcPr>
            <w:tcW w:w="1180" w:type="dxa"/>
            <w:tcBorders>
              <w:top w:val="nil"/>
              <w:left w:val="nil"/>
              <w:bottom w:val="nil"/>
              <w:right w:val="nil"/>
            </w:tcBorders>
            <w:shd w:val="clear" w:color="auto" w:fill="auto"/>
            <w:noWrap/>
            <w:vAlign w:val="bottom"/>
            <w:hideMark/>
          </w:tcPr>
          <w:p w14:paraId="71B62565" w14:textId="77777777" w:rsidR="00103DD8" w:rsidRPr="00103DD8" w:rsidRDefault="00103DD8" w:rsidP="00103DD8">
            <w:pPr>
              <w:widowControl/>
              <w:autoSpaceDE/>
              <w:autoSpaceDN/>
              <w:spacing w:after="0" w:line="240" w:lineRule="auto"/>
              <w:rPr>
                <w:rFonts w:ascii="Times New Roman" w:eastAsia="Times New Roman" w:hAnsi="Times New Roman" w:cs="Times New Roman"/>
                <w:sz w:val="20"/>
                <w:szCs w:val="20"/>
                <w:lang w:bidi="ar-SA"/>
              </w:rPr>
            </w:pPr>
          </w:p>
        </w:tc>
        <w:tc>
          <w:tcPr>
            <w:tcW w:w="1340" w:type="dxa"/>
            <w:tcBorders>
              <w:top w:val="nil"/>
              <w:left w:val="nil"/>
              <w:bottom w:val="nil"/>
              <w:right w:val="nil"/>
            </w:tcBorders>
            <w:shd w:val="clear" w:color="auto" w:fill="auto"/>
            <w:noWrap/>
            <w:vAlign w:val="bottom"/>
            <w:hideMark/>
          </w:tcPr>
          <w:p w14:paraId="73C588A7" w14:textId="77777777" w:rsidR="00103DD8" w:rsidRPr="00103DD8" w:rsidRDefault="00103DD8" w:rsidP="00103DD8">
            <w:pPr>
              <w:widowControl/>
              <w:autoSpaceDE/>
              <w:autoSpaceDN/>
              <w:spacing w:after="0" w:line="240" w:lineRule="auto"/>
              <w:rPr>
                <w:rFonts w:ascii="Times New Roman" w:eastAsia="Times New Roman" w:hAnsi="Times New Roman" w:cs="Times New Roman"/>
                <w:sz w:val="20"/>
                <w:szCs w:val="20"/>
                <w:lang w:bidi="ar-SA"/>
              </w:rPr>
            </w:pPr>
          </w:p>
        </w:tc>
      </w:tr>
      <w:tr w:rsidR="00103DD8" w:rsidRPr="00103DD8" w14:paraId="086C5CEC" w14:textId="77777777" w:rsidTr="00103DD8">
        <w:trPr>
          <w:trHeight w:val="315"/>
        </w:trPr>
        <w:tc>
          <w:tcPr>
            <w:tcW w:w="52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DC19105" w14:textId="77777777" w:rsidR="00103DD8" w:rsidRPr="00103DD8" w:rsidRDefault="00103DD8" w:rsidP="00103DD8">
            <w:pPr>
              <w:widowControl/>
              <w:autoSpaceDE/>
              <w:autoSpaceDN/>
              <w:spacing w:after="0" w:line="240" w:lineRule="auto"/>
              <w:rPr>
                <w:rFonts w:eastAsia="Times New Roman"/>
                <w:b/>
                <w:bCs/>
                <w:color w:val="000000"/>
                <w:lang w:bidi="ar-SA"/>
              </w:rPr>
            </w:pPr>
            <w:r w:rsidRPr="00103DD8">
              <w:rPr>
                <w:rFonts w:eastAsia="Times New Roman"/>
                <w:b/>
                <w:bCs/>
                <w:color w:val="000000"/>
                <w:lang w:bidi="ar-SA"/>
              </w:rPr>
              <w:t>Facility</w:t>
            </w:r>
          </w:p>
        </w:tc>
        <w:tc>
          <w:tcPr>
            <w:tcW w:w="1260" w:type="dxa"/>
            <w:tcBorders>
              <w:top w:val="single" w:sz="8" w:space="0" w:color="auto"/>
              <w:left w:val="nil"/>
              <w:bottom w:val="single" w:sz="8" w:space="0" w:color="auto"/>
              <w:right w:val="single" w:sz="8" w:space="0" w:color="auto"/>
            </w:tcBorders>
            <w:shd w:val="clear" w:color="000000" w:fill="BFBFBF"/>
            <w:noWrap/>
            <w:vAlign w:val="center"/>
            <w:hideMark/>
          </w:tcPr>
          <w:p w14:paraId="15E5527F" w14:textId="77777777" w:rsidR="00103DD8" w:rsidRPr="00103DD8" w:rsidRDefault="00103DD8" w:rsidP="00103DD8">
            <w:pPr>
              <w:widowControl/>
              <w:autoSpaceDE/>
              <w:autoSpaceDN/>
              <w:spacing w:after="0" w:line="240" w:lineRule="auto"/>
              <w:jc w:val="center"/>
              <w:rPr>
                <w:rFonts w:eastAsia="Times New Roman"/>
                <w:b/>
                <w:bCs/>
                <w:color w:val="000000"/>
                <w:lang w:bidi="ar-SA"/>
              </w:rPr>
            </w:pPr>
            <w:r w:rsidRPr="00103DD8">
              <w:rPr>
                <w:rFonts w:eastAsia="Times New Roman"/>
                <w:b/>
                <w:bCs/>
                <w:color w:val="000000"/>
                <w:lang w:bidi="ar-SA"/>
              </w:rPr>
              <w:t>2013</w:t>
            </w:r>
          </w:p>
        </w:tc>
        <w:tc>
          <w:tcPr>
            <w:tcW w:w="1180" w:type="dxa"/>
            <w:tcBorders>
              <w:top w:val="single" w:sz="8" w:space="0" w:color="auto"/>
              <w:left w:val="nil"/>
              <w:bottom w:val="single" w:sz="8" w:space="0" w:color="auto"/>
              <w:right w:val="single" w:sz="8" w:space="0" w:color="auto"/>
            </w:tcBorders>
            <w:shd w:val="clear" w:color="000000" w:fill="BFBFBF"/>
            <w:noWrap/>
            <w:vAlign w:val="center"/>
            <w:hideMark/>
          </w:tcPr>
          <w:p w14:paraId="199A9846" w14:textId="77777777" w:rsidR="00103DD8" w:rsidRPr="00103DD8" w:rsidRDefault="00103DD8" w:rsidP="00103DD8">
            <w:pPr>
              <w:widowControl/>
              <w:autoSpaceDE/>
              <w:autoSpaceDN/>
              <w:spacing w:after="0" w:line="240" w:lineRule="auto"/>
              <w:jc w:val="center"/>
              <w:rPr>
                <w:rFonts w:eastAsia="Times New Roman"/>
                <w:b/>
                <w:bCs/>
                <w:color w:val="000000"/>
                <w:lang w:bidi="ar-SA"/>
              </w:rPr>
            </w:pPr>
            <w:r w:rsidRPr="00103DD8">
              <w:rPr>
                <w:rFonts w:eastAsia="Times New Roman"/>
                <w:b/>
                <w:bCs/>
                <w:color w:val="000000"/>
                <w:lang w:bidi="ar-SA"/>
              </w:rPr>
              <w:t>2023</w:t>
            </w:r>
          </w:p>
        </w:tc>
        <w:tc>
          <w:tcPr>
            <w:tcW w:w="1340" w:type="dxa"/>
            <w:tcBorders>
              <w:top w:val="single" w:sz="8" w:space="0" w:color="auto"/>
              <w:left w:val="nil"/>
              <w:bottom w:val="single" w:sz="8" w:space="0" w:color="auto"/>
              <w:right w:val="single" w:sz="8" w:space="0" w:color="auto"/>
            </w:tcBorders>
            <w:shd w:val="clear" w:color="000000" w:fill="BFBFBF"/>
            <w:noWrap/>
            <w:vAlign w:val="center"/>
            <w:hideMark/>
          </w:tcPr>
          <w:p w14:paraId="5AD06981" w14:textId="77777777" w:rsidR="00103DD8" w:rsidRPr="00103DD8" w:rsidRDefault="00103DD8" w:rsidP="00103DD8">
            <w:pPr>
              <w:widowControl/>
              <w:autoSpaceDE/>
              <w:autoSpaceDN/>
              <w:spacing w:after="0" w:line="240" w:lineRule="auto"/>
              <w:jc w:val="center"/>
              <w:rPr>
                <w:rFonts w:eastAsia="Times New Roman"/>
                <w:b/>
                <w:bCs/>
                <w:color w:val="000000"/>
                <w:lang w:bidi="ar-SA"/>
              </w:rPr>
            </w:pPr>
            <w:r w:rsidRPr="00103DD8">
              <w:rPr>
                <w:rFonts w:eastAsia="Times New Roman"/>
                <w:b/>
                <w:bCs/>
                <w:color w:val="000000"/>
                <w:lang w:bidi="ar-SA"/>
              </w:rPr>
              <w:t>% Change</w:t>
            </w:r>
          </w:p>
        </w:tc>
      </w:tr>
      <w:tr w:rsidR="00103DD8" w:rsidRPr="00103DD8" w14:paraId="1897C824"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40358228"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Anna M. Kross Center (AMKC)</w:t>
            </w:r>
          </w:p>
        </w:tc>
        <w:tc>
          <w:tcPr>
            <w:tcW w:w="1260" w:type="dxa"/>
            <w:tcBorders>
              <w:top w:val="nil"/>
              <w:left w:val="nil"/>
              <w:bottom w:val="single" w:sz="8" w:space="0" w:color="auto"/>
              <w:right w:val="single" w:sz="8" w:space="0" w:color="auto"/>
            </w:tcBorders>
            <w:shd w:val="clear" w:color="000000" w:fill="FFFFFF"/>
            <w:noWrap/>
            <w:vAlign w:val="center"/>
            <w:hideMark/>
          </w:tcPr>
          <w:p w14:paraId="5FCF09C0"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2,206</w:t>
            </w:r>
          </w:p>
        </w:tc>
        <w:tc>
          <w:tcPr>
            <w:tcW w:w="1180" w:type="dxa"/>
            <w:tcBorders>
              <w:top w:val="nil"/>
              <w:left w:val="nil"/>
              <w:bottom w:val="single" w:sz="8" w:space="0" w:color="auto"/>
              <w:right w:val="single" w:sz="8" w:space="0" w:color="auto"/>
            </w:tcBorders>
            <w:shd w:val="clear" w:color="000000" w:fill="FFFFFF"/>
            <w:noWrap/>
            <w:vAlign w:val="center"/>
            <w:hideMark/>
          </w:tcPr>
          <w:p w14:paraId="24B6070F"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1,939</w:t>
            </w:r>
          </w:p>
        </w:tc>
        <w:tc>
          <w:tcPr>
            <w:tcW w:w="1340" w:type="dxa"/>
            <w:tcBorders>
              <w:top w:val="nil"/>
              <w:left w:val="nil"/>
              <w:bottom w:val="single" w:sz="8" w:space="0" w:color="auto"/>
              <w:right w:val="single" w:sz="8" w:space="0" w:color="auto"/>
            </w:tcBorders>
            <w:shd w:val="clear" w:color="000000" w:fill="FFFFFF"/>
            <w:noWrap/>
            <w:vAlign w:val="center"/>
            <w:hideMark/>
          </w:tcPr>
          <w:p w14:paraId="76398B09"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-12%</w:t>
            </w:r>
          </w:p>
        </w:tc>
      </w:tr>
      <w:tr w:rsidR="00103DD8" w:rsidRPr="00103DD8" w14:paraId="5FB216CA"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11E5C7E6"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Vernon C. Bain Center (VCBC)</w:t>
            </w:r>
          </w:p>
        </w:tc>
        <w:tc>
          <w:tcPr>
            <w:tcW w:w="1260" w:type="dxa"/>
            <w:tcBorders>
              <w:top w:val="nil"/>
              <w:left w:val="nil"/>
              <w:bottom w:val="single" w:sz="8" w:space="0" w:color="auto"/>
              <w:right w:val="single" w:sz="8" w:space="0" w:color="auto"/>
            </w:tcBorders>
            <w:shd w:val="clear" w:color="000000" w:fill="FFFFFF"/>
            <w:noWrap/>
            <w:vAlign w:val="center"/>
            <w:hideMark/>
          </w:tcPr>
          <w:p w14:paraId="37328C96"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832</w:t>
            </w:r>
          </w:p>
        </w:tc>
        <w:tc>
          <w:tcPr>
            <w:tcW w:w="1180" w:type="dxa"/>
            <w:tcBorders>
              <w:top w:val="nil"/>
              <w:left w:val="nil"/>
              <w:bottom w:val="single" w:sz="8" w:space="0" w:color="auto"/>
              <w:right w:val="single" w:sz="8" w:space="0" w:color="auto"/>
            </w:tcBorders>
            <w:shd w:val="clear" w:color="000000" w:fill="FFFFFF"/>
            <w:noWrap/>
            <w:vAlign w:val="center"/>
            <w:hideMark/>
          </w:tcPr>
          <w:p w14:paraId="29481BA7"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710</w:t>
            </w:r>
          </w:p>
        </w:tc>
        <w:tc>
          <w:tcPr>
            <w:tcW w:w="1340" w:type="dxa"/>
            <w:tcBorders>
              <w:top w:val="nil"/>
              <w:left w:val="nil"/>
              <w:bottom w:val="single" w:sz="8" w:space="0" w:color="auto"/>
              <w:right w:val="single" w:sz="8" w:space="0" w:color="auto"/>
            </w:tcBorders>
            <w:shd w:val="clear" w:color="000000" w:fill="FFFFFF"/>
            <w:noWrap/>
            <w:vAlign w:val="center"/>
            <w:hideMark/>
          </w:tcPr>
          <w:p w14:paraId="4E59A23E"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-15%</w:t>
            </w:r>
          </w:p>
        </w:tc>
      </w:tr>
      <w:tr w:rsidR="00103DD8" w:rsidRPr="00103DD8" w14:paraId="5E5FF0AD"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4E211D4C"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Bellevue Hospital Prison Ward (BHPW)</w:t>
            </w:r>
          </w:p>
        </w:tc>
        <w:tc>
          <w:tcPr>
            <w:tcW w:w="1260" w:type="dxa"/>
            <w:tcBorders>
              <w:top w:val="nil"/>
              <w:left w:val="nil"/>
              <w:bottom w:val="single" w:sz="8" w:space="0" w:color="auto"/>
              <w:right w:val="single" w:sz="8" w:space="0" w:color="auto"/>
            </w:tcBorders>
            <w:shd w:val="clear" w:color="000000" w:fill="FFFFFF"/>
            <w:noWrap/>
            <w:vAlign w:val="center"/>
            <w:hideMark/>
          </w:tcPr>
          <w:p w14:paraId="676DC53F"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62</w:t>
            </w:r>
          </w:p>
        </w:tc>
        <w:tc>
          <w:tcPr>
            <w:tcW w:w="1180" w:type="dxa"/>
            <w:tcBorders>
              <w:top w:val="nil"/>
              <w:left w:val="nil"/>
              <w:bottom w:val="single" w:sz="8" w:space="0" w:color="auto"/>
              <w:right w:val="single" w:sz="8" w:space="0" w:color="auto"/>
            </w:tcBorders>
            <w:shd w:val="clear" w:color="000000" w:fill="FFFFFF"/>
            <w:noWrap/>
            <w:vAlign w:val="center"/>
            <w:hideMark/>
          </w:tcPr>
          <w:p w14:paraId="7934FD84"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48</w:t>
            </w:r>
          </w:p>
        </w:tc>
        <w:tc>
          <w:tcPr>
            <w:tcW w:w="1340" w:type="dxa"/>
            <w:tcBorders>
              <w:top w:val="nil"/>
              <w:left w:val="nil"/>
              <w:bottom w:val="single" w:sz="8" w:space="0" w:color="auto"/>
              <w:right w:val="single" w:sz="8" w:space="0" w:color="auto"/>
            </w:tcBorders>
            <w:shd w:val="clear" w:color="000000" w:fill="FFFFFF"/>
            <w:noWrap/>
            <w:vAlign w:val="center"/>
            <w:hideMark/>
          </w:tcPr>
          <w:p w14:paraId="00EEA5EC"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-23%</w:t>
            </w:r>
          </w:p>
        </w:tc>
      </w:tr>
      <w:tr w:rsidR="00103DD8" w:rsidRPr="00103DD8" w14:paraId="3FB46FEA"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21A1018E"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Brooklyn Detention Complex (BKDC)</w:t>
            </w:r>
          </w:p>
        </w:tc>
        <w:tc>
          <w:tcPr>
            <w:tcW w:w="1260" w:type="dxa"/>
            <w:tcBorders>
              <w:top w:val="nil"/>
              <w:left w:val="nil"/>
              <w:bottom w:val="single" w:sz="8" w:space="0" w:color="auto"/>
              <w:right w:val="single" w:sz="8" w:space="0" w:color="auto"/>
            </w:tcBorders>
            <w:shd w:val="clear" w:color="000000" w:fill="FFFFFF"/>
            <w:noWrap/>
            <w:vAlign w:val="center"/>
            <w:hideMark/>
          </w:tcPr>
          <w:p w14:paraId="38C56852"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637</w:t>
            </w:r>
          </w:p>
        </w:tc>
        <w:tc>
          <w:tcPr>
            <w:tcW w:w="1180" w:type="dxa"/>
            <w:tcBorders>
              <w:top w:val="nil"/>
              <w:left w:val="nil"/>
              <w:bottom w:val="single" w:sz="8" w:space="0" w:color="auto"/>
              <w:right w:val="single" w:sz="8" w:space="0" w:color="auto"/>
            </w:tcBorders>
            <w:shd w:val="clear" w:color="000000" w:fill="FFFFFF"/>
            <w:noWrap/>
            <w:vAlign w:val="center"/>
            <w:hideMark/>
          </w:tcPr>
          <w:p w14:paraId="083FF36D"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0</w:t>
            </w:r>
          </w:p>
        </w:tc>
        <w:tc>
          <w:tcPr>
            <w:tcW w:w="1340" w:type="dxa"/>
            <w:tcBorders>
              <w:top w:val="nil"/>
              <w:left w:val="nil"/>
              <w:bottom w:val="single" w:sz="8" w:space="0" w:color="auto"/>
              <w:right w:val="single" w:sz="8" w:space="0" w:color="auto"/>
            </w:tcBorders>
            <w:shd w:val="clear" w:color="000000" w:fill="FFFFFF"/>
            <w:noWrap/>
            <w:vAlign w:val="center"/>
            <w:hideMark/>
          </w:tcPr>
          <w:p w14:paraId="186A43B7"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-100%</w:t>
            </w:r>
          </w:p>
        </w:tc>
      </w:tr>
      <w:tr w:rsidR="00103DD8" w:rsidRPr="00103DD8" w14:paraId="58C3709D"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083632D6"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Elmhurst Hospital Prison Ward (EHPW)</w:t>
            </w:r>
          </w:p>
        </w:tc>
        <w:tc>
          <w:tcPr>
            <w:tcW w:w="1260" w:type="dxa"/>
            <w:tcBorders>
              <w:top w:val="nil"/>
              <w:left w:val="nil"/>
              <w:bottom w:val="single" w:sz="8" w:space="0" w:color="auto"/>
              <w:right w:val="single" w:sz="8" w:space="0" w:color="auto"/>
            </w:tcBorders>
            <w:shd w:val="clear" w:color="000000" w:fill="FFFFFF"/>
            <w:noWrap/>
            <w:vAlign w:val="center"/>
            <w:hideMark/>
          </w:tcPr>
          <w:p w14:paraId="2248F284"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14</w:t>
            </w:r>
          </w:p>
        </w:tc>
        <w:tc>
          <w:tcPr>
            <w:tcW w:w="1180" w:type="dxa"/>
            <w:tcBorders>
              <w:top w:val="nil"/>
              <w:left w:val="nil"/>
              <w:bottom w:val="single" w:sz="8" w:space="0" w:color="auto"/>
              <w:right w:val="single" w:sz="8" w:space="0" w:color="auto"/>
            </w:tcBorders>
            <w:shd w:val="clear" w:color="000000" w:fill="FFFFFF"/>
            <w:noWrap/>
            <w:vAlign w:val="center"/>
            <w:hideMark/>
          </w:tcPr>
          <w:p w14:paraId="638C8353"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0</w:t>
            </w:r>
          </w:p>
        </w:tc>
        <w:tc>
          <w:tcPr>
            <w:tcW w:w="1340" w:type="dxa"/>
            <w:tcBorders>
              <w:top w:val="nil"/>
              <w:left w:val="nil"/>
              <w:bottom w:val="single" w:sz="8" w:space="0" w:color="auto"/>
              <w:right w:val="single" w:sz="8" w:space="0" w:color="auto"/>
            </w:tcBorders>
            <w:shd w:val="clear" w:color="000000" w:fill="FFFFFF"/>
            <w:noWrap/>
            <w:vAlign w:val="center"/>
            <w:hideMark/>
          </w:tcPr>
          <w:p w14:paraId="2096EB09"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-100%</w:t>
            </w:r>
          </w:p>
        </w:tc>
      </w:tr>
      <w:tr w:rsidR="00103DD8" w:rsidRPr="00103DD8" w14:paraId="2A32D59F"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5CC427A7"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Eric M. Taylor Center (EMTC)</w:t>
            </w:r>
          </w:p>
        </w:tc>
        <w:tc>
          <w:tcPr>
            <w:tcW w:w="1260" w:type="dxa"/>
            <w:tcBorders>
              <w:top w:val="nil"/>
              <w:left w:val="nil"/>
              <w:bottom w:val="single" w:sz="8" w:space="0" w:color="auto"/>
              <w:right w:val="single" w:sz="8" w:space="0" w:color="auto"/>
            </w:tcBorders>
            <w:shd w:val="clear" w:color="000000" w:fill="FFFFFF"/>
            <w:noWrap/>
            <w:vAlign w:val="center"/>
            <w:hideMark/>
          </w:tcPr>
          <w:p w14:paraId="6C320BBB"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1,362</w:t>
            </w:r>
          </w:p>
        </w:tc>
        <w:tc>
          <w:tcPr>
            <w:tcW w:w="1180" w:type="dxa"/>
            <w:tcBorders>
              <w:top w:val="nil"/>
              <w:left w:val="nil"/>
              <w:bottom w:val="single" w:sz="8" w:space="0" w:color="auto"/>
              <w:right w:val="single" w:sz="8" w:space="0" w:color="auto"/>
            </w:tcBorders>
            <w:shd w:val="clear" w:color="000000" w:fill="FFFFFF"/>
            <w:noWrap/>
            <w:vAlign w:val="center"/>
            <w:hideMark/>
          </w:tcPr>
          <w:p w14:paraId="56F8EB82"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882</w:t>
            </w:r>
          </w:p>
        </w:tc>
        <w:tc>
          <w:tcPr>
            <w:tcW w:w="1340" w:type="dxa"/>
            <w:tcBorders>
              <w:top w:val="nil"/>
              <w:left w:val="nil"/>
              <w:bottom w:val="single" w:sz="8" w:space="0" w:color="auto"/>
              <w:right w:val="single" w:sz="8" w:space="0" w:color="auto"/>
            </w:tcBorders>
            <w:shd w:val="clear" w:color="000000" w:fill="FFFFFF"/>
            <w:noWrap/>
            <w:vAlign w:val="center"/>
            <w:hideMark/>
          </w:tcPr>
          <w:p w14:paraId="266FCDB1"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-35%</w:t>
            </w:r>
          </w:p>
        </w:tc>
      </w:tr>
      <w:tr w:rsidR="00103DD8" w:rsidRPr="00103DD8" w14:paraId="1226D676"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7B39F1D3"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George Motchan Detention Center (GMDC)</w:t>
            </w:r>
          </w:p>
        </w:tc>
        <w:tc>
          <w:tcPr>
            <w:tcW w:w="1260" w:type="dxa"/>
            <w:tcBorders>
              <w:top w:val="nil"/>
              <w:left w:val="nil"/>
              <w:bottom w:val="single" w:sz="8" w:space="0" w:color="auto"/>
              <w:right w:val="single" w:sz="8" w:space="0" w:color="auto"/>
            </w:tcBorders>
            <w:shd w:val="clear" w:color="000000" w:fill="FFFFFF"/>
            <w:noWrap/>
            <w:vAlign w:val="center"/>
            <w:hideMark/>
          </w:tcPr>
          <w:p w14:paraId="78FF2D46"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1,522</w:t>
            </w:r>
          </w:p>
        </w:tc>
        <w:tc>
          <w:tcPr>
            <w:tcW w:w="1180" w:type="dxa"/>
            <w:tcBorders>
              <w:top w:val="nil"/>
              <w:left w:val="nil"/>
              <w:bottom w:val="single" w:sz="8" w:space="0" w:color="auto"/>
              <w:right w:val="single" w:sz="8" w:space="0" w:color="auto"/>
            </w:tcBorders>
            <w:shd w:val="clear" w:color="000000" w:fill="FFFFFF"/>
            <w:noWrap/>
            <w:vAlign w:val="center"/>
            <w:hideMark/>
          </w:tcPr>
          <w:p w14:paraId="7078DFEC"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0</w:t>
            </w:r>
          </w:p>
        </w:tc>
        <w:tc>
          <w:tcPr>
            <w:tcW w:w="1340" w:type="dxa"/>
            <w:tcBorders>
              <w:top w:val="nil"/>
              <w:left w:val="nil"/>
              <w:bottom w:val="single" w:sz="8" w:space="0" w:color="auto"/>
              <w:right w:val="single" w:sz="8" w:space="0" w:color="auto"/>
            </w:tcBorders>
            <w:shd w:val="clear" w:color="000000" w:fill="FFFFFF"/>
            <w:noWrap/>
            <w:vAlign w:val="center"/>
            <w:hideMark/>
          </w:tcPr>
          <w:p w14:paraId="6833468F"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-100%</w:t>
            </w:r>
          </w:p>
        </w:tc>
      </w:tr>
      <w:tr w:rsidR="00103DD8" w:rsidRPr="00103DD8" w14:paraId="2E6EF61D"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76FE1FAA"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George R. Vierno Center (GRVC)</w:t>
            </w:r>
          </w:p>
        </w:tc>
        <w:tc>
          <w:tcPr>
            <w:tcW w:w="1260" w:type="dxa"/>
            <w:tcBorders>
              <w:top w:val="nil"/>
              <w:left w:val="nil"/>
              <w:bottom w:val="single" w:sz="8" w:space="0" w:color="auto"/>
              <w:right w:val="single" w:sz="8" w:space="0" w:color="auto"/>
            </w:tcBorders>
            <w:shd w:val="clear" w:color="000000" w:fill="FFFFFF"/>
            <w:noWrap/>
            <w:vAlign w:val="center"/>
            <w:hideMark/>
          </w:tcPr>
          <w:p w14:paraId="0E11C2CF"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974</w:t>
            </w:r>
          </w:p>
        </w:tc>
        <w:tc>
          <w:tcPr>
            <w:tcW w:w="1180" w:type="dxa"/>
            <w:tcBorders>
              <w:top w:val="nil"/>
              <w:left w:val="nil"/>
              <w:bottom w:val="single" w:sz="8" w:space="0" w:color="auto"/>
              <w:right w:val="single" w:sz="8" w:space="0" w:color="auto"/>
            </w:tcBorders>
            <w:shd w:val="clear" w:color="000000" w:fill="FFFFFF"/>
            <w:noWrap/>
            <w:vAlign w:val="center"/>
            <w:hideMark/>
          </w:tcPr>
          <w:p w14:paraId="5A6B3106"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826</w:t>
            </w:r>
          </w:p>
        </w:tc>
        <w:tc>
          <w:tcPr>
            <w:tcW w:w="1340" w:type="dxa"/>
            <w:tcBorders>
              <w:top w:val="nil"/>
              <w:left w:val="nil"/>
              <w:bottom w:val="single" w:sz="8" w:space="0" w:color="auto"/>
              <w:right w:val="single" w:sz="8" w:space="0" w:color="auto"/>
            </w:tcBorders>
            <w:shd w:val="clear" w:color="000000" w:fill="FFFFFF"/>
            <w:noWrap/>
            <w:vAlign w:val="center"/>
            <w:hideMark/>
          </w:tcPr>
          <w:p w14:paraId="5D44AB5D"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-15%</w:t>
            </w:r>
          </w:p>
        </w:tc>
      </w:tr>
      <w:tr w:rsidR="00103DD8" w:rsidRPr="00103DD8" w14:paraId="5FCC462E"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71E47C84"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Horizon Juvenile Center</w:t>
            </w:r>
          </w:p>
        </w:tc>
        <w:tc>
          <w:tcPr>
            <w:tcW w:w="1260" w:type="dxa"/>
            <w:tcBorders>
              <w:top w:val="nil"/>
              <w:left w:val="nil"/>
              <w:bottom w:val="single" w:sz="8" w:space="0" w:color="auto"/>
              <w:right w:val="single" w:sz="8" w:space="0" w:color="auto"/>
            </w:tcBorders>
            <w:shd w:val="clear" w:color="000000" w:fill="FFFFFF"/>
            <w:noWrap/>
            <w:vAlign w:val="center"/>
            <w:hideMark/>
          </w:tcPr>
          <w:p w14:paraId="6589C6D1"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0</w:t>
            </w:r>
          </w:p>
        </w:tc>
        <w:tc>
          <w:tcPr>
            <w:tcW w:w="1180" w:type="dxa"/>
            <w:tcBorders>
              <w:top w:val="nil"/>
              <w:left w:val="nil"/>
              <w:bottom w:val="single" w:sz="8" w:space="0" w:color="auto"/>
              <w:right w:val="single" w:sz="8" w:space="0" w:color="auto"/>
            </w:tcBorders>
            <w:shd w:val="clear" w:color="000000" w:fill="FFFFFF"/>
            <w:noWrap/>
            <w:vAlign w:val="center"/>
            <w:hideMark/>
          </w:tcPr>
          <w:p w14:paraId="719D2B4C"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0</w:t>
            </w:r>
          </w:p>
        </w:tc>
        <w:tc>
          <w:tcPr>
            <w:tcW w:w="1340" w:type="dxa"/>
            <w:tcBorders>
              <w:top w:val="nil"/>
              <w:left w:val="nil"/>
              <w:bottom w:val="single" w:sz="8" w:space="0" w:color="auto"/>
              <w:right w:val="single" w:sz="8" w:space="0" w:color="auto"/>
            </w:tcBorders>
            <w:shd w:val="clear" w:color="000000" w:fill="FFFFFF"/>
            <w:noWrap/>
            <w:vAlign w:val="center"/>
            <w:hideMark/>
          </w:tcPr>
          <w:p w14:paraId="3592E79D"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w:t>
            </w:r>
          </w:p>
        </w:tc>
      </w:tr>
      <w:tr w:rsidR="00103DD8" w:rsidRPr="00103DD8" w14:paraId="091AD67E"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3AAD2BE0"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Manhattan Detention Complex (MDC)</w:t>
            </w:r>
          </w:p>
        </w:tc>
        <w:tc>
          <w:tcPr>
            <w:tcW w:w="1260" w:type="dxa"/>
            <w:tcBorders>
              <w:top w:val="nil"/>
              <w:left w:val="nil"/>
              <w:bottom w:val="single" w:sz="8" w:space="0" w:color="auto"/>
              <w:right w:val="single" w:sz="8" w:space="0" w:color="auto"/>
            </w:tcBorders>
            <w:shd w:val="clear" w:color="000000" w:fill="FFFFFF"/>
            <w:noWrap/>
            <w:vAlign w:val="center"/>
            <w:hideMark/>
          </w:tcPr>
          <w:p w14:paraId="20791010"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727</w:t>
            </w:r>
          </w:p>
        </w:tc>
        <w:tc>
          <w:tcPr>
            <w:tcW w:w="1180" w:type="dxa"/>
            <w:tcBorders>
              <w:top w:val="nil"/>
              <w:left w:val="nil"/>
              <w:bottom w:val="single" w:sz="8" w:space="0" w:color="auto"/>
              <w:right w:val="single" w:sz="8" w:space="0" w:color="auto"/>
            </w:tcBorders>
            <w:shd w:val="clear" w:color="000000" w:fill="FFFFFF"/>
            <w:noWrap/>
            <w:vAlign w:val="center"/>
            <w:hideMark/>
          </w:tcPr>
          <w:p w14:paraId="5F69E790"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0</w:t>
            </w:r>
          </w:p>
        </w:tc>
        <w:tc>
          <w:tcPr>
            <w:tcW w:w="1340" w:type="dxa"/>
            <w:tcBorders>
              <w:top w:val="nil"/>
              <w:left w:val="nil"/>
              <w:bottom w:val="single" w:sz="8" w:space="0" w:color="auto"/>
              <w:right w:val="single" w:sz="8" w:space="0" w:color="auto"/>
            </w:tcBorders>
            <w:shd w:val="clear" w:color="000000" w:fill="FFFFFF"/>
            <w:noWrap/>
            <w:vAlign w:val="center"/>
            <w:hideMark/>
          </w:tcPr>
          <w:p w14:paraId="7CE57087"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-100%</w:t>
            </w:r>
          </w:p>
        </w:tc>
      </w:tr>
      <w:tr w:rsidR="00103DD8" w:rsidRPr="00103DD8" w14:paraId="2A774BFC"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65A36588"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North Infirmary Command (NIC)</w:t>
            </w:r>
          </w:p>
        </w:tc>
        <w:tc>
          <w:tcPr>
            <w:tcW w:w="1260" w:type="dxa"/>
            <w:tcBorders>
              <w:top w:val="nil"/>
              <w:left w:val="nil"/>
              <w:bottom w:val="single" w:sz="8" w:space="0" w:color="auto"/>
              <w:right w:val="single" w:sz="8" w:space="0" w:color="auto"/>
            </w:tcBorders>
            <w:shd w:val="clear" w:color="000000" w:fill="FFFFFF"/>
            <w:noWrap/>
            <w:vAlign w:val="center"/>
            <w:hideMark/>
          </w:tcPr>
          <w:p w14:paraId="487AF05E"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118</w:t>
            </w:r>
          </w:p>
        </w:tc>
        <w:tc>
          <w:tcPr>
            <w:tcW w:w="1180" w:type="dxa"/>
            <w:tcBorders>
              <w:top w:val="nil"/>
              <w:left w:val="nil"/>
              <w:bottom w:val="single" w:sz="8" w:space="0" w:color="auto"/>
              <w:right w:val="single" w:sz="8" w:space="0" w:color="auto"/>
            </w:tcBorders>
            <w:shd w:val="clear" w:color="000000" w:fill="FFFFFF"/>
            <w:noWrap/>
            <w:vAlign w:val="center"/>
            <w:hideMark/>
          </w:tcPr>
          <w:p w14:paraId="2F641772"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281</w:t>
            </w:r>
          </w:p>
        </w:tc>
        <w:tc>
          <w:tcPr>
            <w:tcW w:w="1340" w:type="dxa"/>
            <w:tcBorders>
              <w:top w:val="nil"/>
              <w:left w:val="nil"/>
              <w:bottom w:val="single" w:sz="8" w:space="0" w:color="auto"/>
              <w:right w:val="single" w:sz="8" w:space="0" w:color="auto"/>
            </w:tcBorders>
            <w:shd w:val="clear" w:color="000000" w:fill="FFFFFF"/>
            <w:noWrap/>
            <w:vAlign w:val="center"/>
            <w:hideMark/>
          </w:tcPr>
          <w:p w14:paraId="2DE44D54"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139%</w:t>
            </w:r>
          </w:p>
        </w:tc>
      </w:tr>
      <w:tr w:rsidR="00103DD8" w:rsidRPr="00103DD8" w14:paraId="398ADEEE"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3DAACC6D"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Otis Bantum Correctional Center (OBCC)</w:t>
            </w:r>
          </w:p>
        </w:tc>
        <w:tc>
          <w:tcPr>
            <w:tcW w:w="1260" w:type="dxa"/>
            <w:tcBorders>
              <w:top w:val="nil"/>
              <w:left w:val="nil"/>
              <w:bottom w:val="single" w:sz="8" w:space="0" w:color="auto"/>
              <w:right w:val="single" w:sz="8" w:space="0" w:color="auto"/>
            </w:tcBorders>
            <w:shd w:val="clear" w:color="000000" w:fill="FFFFFF"/>
            <w:noWrap/>
            <w:vAlign w:val="center"/>
            <w:hideMark/>
          </w:tcPr>
          <w:p w14:paraId="5C714F2F"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1,421</w:t>
            </w:r>
          </w:p>
        </w:tc>
        <w:tc>
          <w:tcPr>
            <w:tcW w:w="1180" w:type="dxa"/>
            <w:tcBorders>
              <w:top w:val="nil"/>
              <w:left w:val="nil"/>
              <w:bottom w:val="single" w:sz="8" w:space="0" w:color="auto"/>
              <w:right w:val="single" w:sz="8" w:space="0" w:color="auto"/>
            </w:tcBorders>
            <w:shd w:val="clear" w:color="000000" w:fill="FFFFFF"/>
            <w:noWrap/>
            <w:vAlign w:val="center"/>
            <w:hideMark/>
          </w:tcPr>
          <w:p w14:paraId="01F792E6"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0</w:t>
            </w:r>
          </w:p>
        </w:tc>
        <w:tc>
          <w:tcPr>
            <w:tcW w:w="1340" w:type="dxa"/>
            <w:tcBorders>
              <w:top w:val="nil"/>
              <w:left w:val="nil"/>
              <w:bottom w:val="single" w:sz="8" w:space="0" w:color="auto"/>
              <w:right w:val="single" w:sz="8" w:space="0" w:color="auto"/>
            </w:tcBorders>
            <w:shd w:val="clear" w:color="000000" w:fill="FFFFFF"/>
            <w:noWrap/>
            <w:vAlign w:val="center"/>
            <w:hideMark/>
          </w:tcPr>
          <w:p w14:paraId="11CB2659"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-100%</w:t>
            </w:r>
          </w:p>
        </w:tc>
      </w:tr>
      <w:tr w:rsidR="00103DD8" w:rsidRPr="00103DD8" w14:paraId="27E8F50A"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1F971C97"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Robert N. Davoren Complex (RNDC)</w:t>
            </w:r>
          </w:p>
        </w:tc>
        <w:tc>
          <w:tcPr>
            <w:tcW w:w="1260" w:type="dxa"/>
            <w:tcBorders>
              <w:top w:val="nil"/>
              <w:left w:val="nil"/>
              <w:bottom w:val="single" w:sz="8" w:space="0" w:color="auto"/>
              <w:right w:val="single" w:sz="8" w:space="0" w:color="auto"/>
            </w:tcBorders>
            <w:shd w:val="clear" w:color="000000" w:fill="FFFFFF"/>
            <w:noWrap/>
            <w:vAlign w:val="center"/>
            <w:hideMark/>
          </w:tcPr>
          <w:p w14:paraId="03309551"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976</w:t>
            </w:r>
          </w:p>
        </w:tc>
        <w:tc>
          <w:tcPr>
            <w:tcW w:w="1180" w:type="dxa"/>
            <w:tcBorders>
              <w:top w:val="nil"/>
              <w:left w:val="nil"/>
              <w:bottom w:val="single" w:sz="8" w:space="0" w:color="auto"/>
              <w:right w:val="single" w:sz="8" w:space="0" w:color="auto"/>
            </w:tcBorders>
            <w:shd w:val="clear" w:color="000000" w:fill="FFFFFF"/>
            <w:noWrap/>
            <w:vAlign w:val="center"/>
            <w:hideMark/>
          </w:tcPr>
          <w:p w14:paraId="79DCEA56"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844</w:t>
            </w:r>
          </w:p>
        </w:tc>
        <w:tc>
          <w:tcPr>
            <w:tcW w:w="1340" w:type="dxa"/>
            <w:tcBorders>
              <w:top w:val="nil"/>
              <w:left w:val="nil"/>
              <w:bottom w:val="single" w:sz="8" w:space="0" w:color="auto"/>
              <w:right w:val="single" w:sz="8" w:space="0" w:color="auto"/>
            </w:tcBorders>
            <w:shd w:val="clear" w:color="000000" w:fill="FFFFFF"/>
            <w:noWrap/>
            <w:vAlign w:val="center"/>
            <w:hideMark/>
          </w:tcPr>
          <w:p w14:paraId="2B16E200"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-13%</w:t>
            </w:r>
          </w:p>
        </w:tc>
      </w:tr>
      <w:tr w:rsidR="00103DD8" w:rsidRPr="00103DD8" w14:paraId="3C9DC58D"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2F0D4EB6"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Rose M. Singer Center (RMSC)</w:t>
            </w:r>
          </w:p>
        </w:tc>
        <w:tc>
          <w:tcPr>
            <w:tcW w:w="1260" w:type="dxa"/>
            <w:tcBorders>
              <w:top w:val="nil"/>
              <w:left w:val="nil"/>
              <w:bottom w:val="single" w:sz="8" w:space="0" w:color="auto"/>
              <w:right w:val="single" w:sz="8" w:space="0" w:color="auto"/>
            </w:tcBorders>
            <w:shd w:val="clear" w:color="000000" w:fill="FFFFFF"/>
            <w:noWrap/>
            <w:vAlign w:val="center"/>
            <w:hideMark/>
          </w:tcPr>
          <w:p w14:paraId="2C9159EF"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775</w:t>
            </w:r>
          </w:p>
        </w:tc>
        <w:tc>
          <w:tcPr>
            <w:tcW w:w="1180" w:type="dxa"/>
            <w:tcBorders>
              <w:top w:val="nil"/>
              <w:left w:val="nil"/>
              <w:bottom w:val="single" w:sz="8" w:space="0" w:color="auto"/>
              <w:right w:val="single" w:sz="8" w:space="0" w:color="auto"/>
            </w:tcBorders>
            <w:shd w:val="clear" w:color="000000" w:fill="FFFFFF"/>
            <w:noWrap/>
            <w:vAlign w:val="center"/>
            <w:hideMark/>
          </w:tcPr>
          <w:p w14:paraId="5F33FA0B"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352</w:t>
            </w:r>
          </w:p>
        </w:tc>
        <w:tc>
          <w:tcPr>
            <w:tcW w:w="1340" w:type="dxa"/>
            <w:tcBorders>
              <w:top w:val="nil"/>
              <w:left w:val="nil"/>
              <w:bottom w:val="single" w:sz="8" w:space="0" w:color="auto"/>
              <w:right w:val="single" w:sz="8" w:space="0" w:color="auto"/>
            </w:tcBorders>
            <w:shd w:val="clear" w:color="000000" w:fill="FFFFFF"/>
            <w:noWrap/>
            <w:vAlign w:val="center"/>
            <w:hideMark/>
          </w:tcPr>
          <w:p w14:paraId="680C5821"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-55%</w:t>
            </w:r>
          </w:p>
        </w:tc>
      </w:tr>
      <w:tr w:rsidR="00103DD8" w:rsidRPr="00103DD8" w14:paraId="4681F31E"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0BB08AB7"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West Facility (WF)</w:t>
            </w:r>
          </w:p>
        </w:tc>
        <w:tc>
          <w:tcPr>
            <w:tcW w:w="1260" w:type="dxa"/>
            <w:tcBorders>
              <w:top w:val="nil"/>
              <w:left w:val="nil"/>
              <w:bottom w:val="single" w:sz="8" w:space="0" w:color="auto"/>
              <w:right w:val="single" w:sz="8" w:space="0" w:color="auto"/>
            </w:tcBorders>
            <w:shd w:val="clear" w:color="000000" w:fill="FFFFFF"/>
            <w:noWrap/>
            <w:vAlign w:val="center"/>
            <w:hideMark/>
          </w:tcPr>
          <w:p w14:paraId="0EC655D1"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48</w:t>
            </w:r>
          </w:p>
        </w:tc>
        <w:tc>
          <w:tcPr>
            <w:tcW w:w="1180" w:type="dxa"/>
            <w:tcBorders>
              <w:top w:val="nil"/>
              <w:left w:val="nil"/>
              <w:bottom w:val="single" w:sz="8" w:space="0" w:color="auto"/>
              <w:right w:val="single" w:sz="8" w:space="0" w:color="auto"/>
            </w:tcBorders>
            <w:shd w:val="clear" w:color="000000" w:fill="FFFFFF"/>
            <w:noWrap/>
            <w:vAlign w:val="center"/>
            <w:hideMark/>
          </w:tcPr>
          <w:p w14:paraId="69D6E367"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74</w:t>
            </w:r>
          </w:p>
        </w:tc>
        <w:tc>
          <w:tcPr>
            <w:tcW w:w="1340" w:type="dxa"/>
            <w:tcBorders>
              <w:top w:val="nil"/>
              <w:left w:val="nil"/>
              <w:bottom w:val="single" w:sz="8" w:space="0" w:color="auto"/>
              <w:right w:val="single" w:sz="8" w:space="0" w:color="auto"/>
            </w:tcBorders>
            <w:shd w:val="clear" w:color="000000" w:fill="FFFFFF"/>
            <w:noWrap/>
            <w:vAlign w:val="center"/>
            <w:hideMark/>
          </w:tcPr>
          <w:p w14:paraId="73DED443"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52%</w:t>
            </w:r>
          </w:p>
        </w:tc>
      </w:tr>
      <w:tr w:rsidR="00103DD8" w:rsidRPr="00103DD8" w14:paraId="5BCB2798" w14:textId="77777777" w:rsidTr="00103DD8">
        <w:trPr>
          <w:trHeight w:val="315"/>
        </w:trPr>
        <w:tc>
          <w:tcPr>
            <w:tcW w:w="5200" w:type="dxa"/>
            <w:tcBorders>
              <w:top w:val="nil"/>
              <w:left w:val="single" w:sz="8" w:space="0" w:color="auto"/>
              <w:bottom w:val="nil"/>
              <w:right w:val="single" w:sz="8" w:space="0" w:color="auto"/>
            </w:tcBorders>
            <w:shd w:val="clear" w:color="000000" w:fill="FFFFFF"/>
            <w:noWrap/>
            <w:vAlign w:val="center"/>
            <w:hideMark/>
          </w:tcPr>
          <w:p w14:paraId="0258AB95"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Central Intake (CINT)</w:t>
            </w:r>
          </w:p>
        </w:tc>
        <w:tc>
          <w:tcPr>
            <w:tcW w:w="1260" w:type="dxa"/>
            <w:tcBorders>
              <w:top w:val="nil"/>
              <w:left w:val="nil"/>
              <w:bottom w:val="single" w:sz="8" w:space="0" w:color="auto"/>
              <w:right w:val="single" w:sz="8" w:space="0" w:color="auto"/>
            </w:tcBorders>
            <w:shd w:val="clear" w:color="000000" w:fill="FFFFFF"/>
            <w:noWrap/>
            <w:vAlign w:val="center"/>
            <w:hideMark/>
          </w:tcPr>
          <w:p w14:paraId="1EBB12E7"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0</w:t>
            </w:r>
          </w:p>
        </w:tc>
        <w:tc>
          <w:tcPr>
            <w:tcW w:w="1180" w:type="dxa"/>
            <w:tcBorders>
              <w:top w:val="nil"/>
              <w:left w:val="nil"/>
              <w:bottom w:val="single" w:sz="8" w:space="0" w:color="auto"/>
              <w:right w:val="single" w:sz="8" w:space="0" w:color="auto"/>
            </w:tcBorders>
            <w:shd w:val="clear" w:color="000000" w:fill="FFFFFF"/>
            <w:noWrap/>
            <w:vAlign w:val="center"/>
            <w:hideMark/>
          </w:tcPr>
          <w:p w14:paraId="09D0DC00"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0</w:t>
            </w:r>
          </w:p>
        </w:tc>
        <w:tc>
          <w:tcPr>
            <w:tcW w:w="1340" w:type="dxa"/>
            <w:tcBorders>
              <w:top w:val="nil"/>
              <w:left w:val="nil"/>
              <w:bottom w:val="single" w:sz="8" w:space="0" w:color="auto"/>
              <w:right w:val="single" w:sz="8" w:space="0" w:color="auto"/>
            </w:tcBorders>
            <w:shd w:val="clear" w:color="000000" w:fill="FFFFFF"/>
            <w:noWrap/>
            <w:vAlign w:val="center"/>
            <w:hideMark/>
          </w:tcPr>
          <w:p w14:paraId="2C949955"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w:t>
            </w:r>
          </w:p>
        </w:tc>
      </w:tr>
      <w:tr w:rsidR="00103DD8" w:rsidRPr="00103DD8" w14:paraId="6DA90E5D" w14:textId="77777777" w:rsidTr="00103DD8">
        <w:trPr>
          <w:trHeight w:val="315"/>
        </w:trPr>
        <w:tc>
          <w:tcPr>
            <w:tcW w:w="52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BAEAA2"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Rose M. Singer Enhanced Supervised Housing (RESH)*</w:t>
            </w:r>
          </w:p>
        </w:tc>
        <w:tc>
          <w:tcPr>
            <w:tcW w:w="1260" w:type="dxa"/>
            <w:tcBorders>
              <w:top w:val="nil"/>
              <w:left w:val="nil"/>
              <w:bottom w:val="single" w:sz="8" w:space="0" w:color="auto"/>
              <w:right w:val="single" w:sz="8" w:space="0" w:color="auto"/>
            </w:tcBorders>
            <w:shd w:val="clear" w:color="000000" w:fill="FFFFFF"/>
            <w:noWrap/>
            <w:vAlign w:val="center"/>
            <w:hideMark/>
          </w:tcPr>
          <w:p w14:paraId="6CC7F85B"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0</w:t>
            </w:r>
          </w:p>
        </w:tc>
        <w:tc>
          <w:tcPr>
            <w:tcW w:w="1180" w:type="dxa"/>
            <w:tcBorders>
              <w:top w:val="nil"/>
              <w:left w:val="nil"/>
              <w:bottom w:val="single" w:sz="8" w:space="0" w:color="auto"/>
              <w:right w:val="single" w:sz="8" w:space="0" w:color="auto"/>
            </w:tcBorders>
            <w:shd w:val="clear" w:color="000000" w:fill="FFFFFF"/>
            <w:noWrap/>
            <w:vAlign w:val="center"/>
            <w:hideMark/>
          </w:tcPr>
          <w:p w14:paraId="4E8F9B0B"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w:t>
            </w:r>
          </w:p>
        </w:tc>
        <w:tc>
          <w:tcPr>
            <w:tcW w:w="1340" w:type="dxa"/>
            <w:tcBorders>
              <w:top w:val="nil"/>
              <w:left w:val="nil"/>
              <w:bottom w:val="single" w:sz="8" w:space="0" w:color="auto"/>
              <w:right w:val="single" w:sz="8" w:space="0" w:color="auto"/>
            </w:tcBorders>
            <w:shd w:val="clear" w:color="000000" w:fill="FFFFFF"/>
            <w:noWrap/>
            <w:vAlign w:val="center"/>
            <w:hideMark/>
          </w:tcPr>
          <w:p w14:paraId="763BC2B2"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w:t>
            </w:r>
          </w:p>
        </w:tc>
      </w:tr>
      <w:tr w:rsidR="00103DD8" w:rsidRPr="00103DD8" w14:paraId="6D10D253" w14:textId="77777777" w:rsidTr="00103DD8">
        <w:trPr>
          <w:trHeight w:val="315"/>
        </w:trPr>
        <w:tc>
          <w:tcPr>
            <w:tcW w:w="5200" w:type="dxa"/>
            <w:tcBorders>
              <w:top w:val="nil"/>
              <w:left w:val="single" w:sz="8" w:space="0" w:color="auto"/>
              <w:bottom w:val="single" w:sz="8" w:space="0" w:color="auto"/>
              <w:right w:val="single" w:sz="8" w:space="0" w:color="auto"/>
            </w:tcBorders>
            <w:shd w:val="clear" w:color="000000" w:fill="BFBFBF"/>
            <w:noWrap/>
            <w:vAlign w:val="center"/>
            <w:hideMark/>
          </w:tcPr>
          <w:p w14:paraId="0998EE9D" w14:textId="77777777" w:rsidR="00103DD8" w:rsidRPr="00103DD8" w:rsidRDefault="00103DD8" w:rsidP="00103DD8">
            <w:pPr>
              <w:widowControl/>
              <w:autoSpaceDE/>
              <w:autoSpaceDN/>
              <w:spacing w:after="0" w:line="240" w:lineRule="auto"/>
              <w:rPr>
                <w:rFonts w:eastAsia="Times New Roman"/>
                <w:color w:val="000000"/>
                <w:lang w:bidi="ar-SA"/>
              </w:rPr>
            </w:pPr>
            <w:r w:rsidRPr="00103DD8">
              <w:rPr>
                <w:rFonts w:eastAsia="Times New Roman"/>
                <w:color w:val="000000"/>
                <w:lang w:bidi="ar-SA"/>
              </w:rPr>
              <w:t>Total ADP</w:t>
            </w:r>
          </w:p>
        </w:tc>
        <w:tc>
          <w:tcPr>
            <w:tcW w:w="1260" w:type="dxa"/>
            <w:tcBorders>
              <w:top w:val="nil"/>
              <w:left w:val="nil"/>
              <w:bottom w:val="single" w:sz="8" w:space="0" w:color="auto"/>
              <w:right w:val="single" w:sz="8" w:space="0" w:color="auto"/>
            </w:tcBorders>
            <w:shd w:val="clear" w:color="000000" w:fill="BFBFBF"/>
            <w:noWrap/>
            <w:vAlign w:val="center"/>
            <w:hideMark/>
          </w:tcPr>
          <w:p w14:paraId="4B06B502"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11,674</w:t>
            </w:r>
          </w:p>
        </w:tc>
        <w:tc>
          <w:tcPr>
            <w:tcW w:w="1180" w:type="dxa"/>
            <w:tcBorders>
              <w:top w:val="nil"/>
              <w:left w:val="nil"/>
              <w:bottom w:val="single" w:sz="8" w:space="0" w:color="auto"/>
              <w:right w:val="single" w:sz="8" w:space="0" w:color="auto"/>
            </w:tcBorders>
            <w:shd w:val="clear" w:color="000000" w:fill="BFBFBF"/>
            <w:noWrap/>
            <w:vAlign w:val="center"/>
            <w:hideMark/>
          </w:tcPr>
          <w:p w14:paraId="5B5ADB80"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5,957</w:t>
            </w:r>
          </w:p>
        </w:tc>
        <w:tc>
          <w:tcPr>
            <w:tcW w:w="1340" w:type="dxa"/>
            <w:tcBorders>
              <w:top w:val="nil"/>
              <w:left w:val="nil"/>
              <w:bottom w:val="single" w:sz="8" w:space="0" w:color="auto"/>
              <w:right w:val="single" w:sz="8" w:space="0" w:color="auto"/>
            </w:tcBorders>
            <w:shd w:val="clear" w:color="000000" w:fill="BFBFBF"/>
            <w:noWrap/>
            <w:vAlign w:val="center"/>
            <w:hideMark/>
          </w:tcPr>
          <w:p w14:paraId="47A3AC2B" w14:textId="77777777" w:rsidR="00103DD8" w:rsidRPr="00103DD8" w:rsidRDefault="00103DD8" w:rsidP="00103DD8">
            <w:pPr>
              <w:widowControl/>
              <w:autoSpaceDE/>
              <w:autoSpaceDN/>
              <w:spacing w:after="0" w:line="240" w:lineRule="auto"/>
              <w:jc w:val="center"/>
              <w:rPr>
                <w:rFonts w:eastAsia="Times New Roman"/>
                <w:lang w:bidi="ar-SA"/>
              </w:rPr>
            </w:pPr>
            <w:r w:rsidRPr="00103DD8">
              <w:rPr>
                <w:rFonts w:eastAsia="Times New Roman"/>
                <w:lang w:bidi="ar-SA"/>
              </w:rPr>
              <w:t>-49%</w:t>
            </w:r>
          </w:p>
        </w:tc>
      </w:tr>
    </w:tbl>
    <w:p w14:paraId="772DF27B" w14:textId="2BC9598E" w:rsidR="00103DD8" w:rsidRDefault="00103DD8" w:rsidP="00103DD8">
      <w:pPr>
        <w:pStyle w:val="BodyText"/>
        <w:keepLines/>
        <w:topLinePunct/>
        <w:spacing w:after="0" w:line="240" w:lineRule="auto"/>
        <w:textAlignment w:val="top"/>
        <w:rPr>
          <w:rFonts w:eastAsia="SimSun" w:hAnsi="Arial Regular" w:cs="Arial Regular"/>
        </w:rPr>
      </w:pPr>
      <w:r w:rsidRPr="00103DD8">
        <w:rPr>
          <w:rFonts w:eastAsia="SimSun" w:hAnsi="Arial Regular" w:cs="Arial Regular"/>
        </w:rPr>
        <w:t>*RESH was only in operation for the last 3 days of the reporting period</w:t>
      </w:r>
    </w:p>
    <w:p w14:paraId="7315C568" w14:textId="7C62D90E" w:rsidR="0079726C" w:rsidRDefault="0079726C" w:rsidP="00103DD8">
      <w:pPr>
        <w:pStyle w:val="BodyText"/>
        <w:keepLines/>
        <w:topLinePunct/>
        <w:spacing w:after="0" w:line="240" w:lineRule="auto"/>
        <w:textAlignment w:val="top"/>
        <w:rPr>
          <w:rFonts w:eastAsia="SimSun" w:hAnsi="Arial Regular" w:cs="Arial Regular"/>
        </w:rPr>
      </w:pPr>
      <w:r>
        <w:rPr>
          <w:rFonts w:eastAsia="SimSun" w:hAnsi="Arial Regular" w:cs="Arial Regular"/>
        </w:rPr>
        <w:t>*MOCJ analysis of DOC data. Values may vary slightly from DOC analysis.</w:t>
      </w:r>
      <w:r w:rsidR="002E36AC">
        <w:rPr>
          <w:rFonts w:eastAsia="SimSun" w:hAnsi="Arial Regular" w:cs="Arial Regular"/>
        </w:rPr>
        <w:t xml:space="preserve"> </w:t>
      </w:r>
    </w:p>
    <w:p w14:paraId="100831F7" w14:textId="3849C0BF" w:rsidR="006610A9" w:rsidRDefault="006610A9">
      <w:pPr>
        <w:widowControl/>
        <w:autoSpaceDE/>
        <w:autoSpaceDN/>
        <w:rPr>
          <w:rFonts w:eastAsia="SimSun" w:hAnsi="Arial Regular" w:cs="Arial Regular"/>
        </w:rPr>
      </w:pPr>
      <w:r>
        <w:rPr>
          <w:rFonts w:eastAsia="SimSun" w:hAnsi="Arial Regular" w:cs="Arial Regular"/>
        </w:rPr>
        <w:br w:type="page"/>
      </w:r>
    </w:p>
    <w:tbl>
      <w:tblPr>
        <w:tblW w:w="8980" w:type="dxa"/>
        <w:tblLook w:val="04A0" w:firstRow="1" w:lastRow="0" w:firstColumn="1" w:lastColumn="0" w:noHBand="0" w:noVBand="1"/>
      </w:tblPr>
      <w:tblGrid>
        <w:gridCol w:w="5200"/>
        <w:gridCol w:w="1260"/>
        <w:gridCol w:w="1180"/>
        <w:gridCol w:w="1340"/>
      </w:tblGrid>
      <w:tr w:rsidR="00054805" w:rsidRPr="00054805" w14:paraId="4EA13C84" w14:textId="77777777" w:rsidTr="00054805">
        <w:trPr>
          <w:trHeight w:val="315"/>
        </w:trPr>
        <w:tc>
          <w:tcPr>
            <w:tcW w:w="5200" w:type="dxa"/>
            <w:tcBorders>
              <w:top w:val="nil"/>
              <w:left w:val="nil"/>
              <w:bottom w:val="nil"/>
              <w:right w:val="nil"/>
            </w:tcBorders>
            <w:shd w:val="clear" w:color="auto" w:fill="auto"/>
            <w:noWrap/>
            <w:vAlign w:val="bottom"/>
            <w:hideMark/>
          </w:tcPr>
          <w:bookmarkEnd w:id="0"/>
          <w:p w14:paraId="596EAFF4" w14:textId="77777777" w:rsidR="00054805" w:rsidRPr="00054805" w:rsidRDefault="00054805" w:rsidP="00054805">
            <w:pPr>
              <w:widowControl/>
              <w:autoSpaceDE/>
              <w:autoSpaceDN/>
              <w:spacing w:after="0" w:line="240" w:lineRule="auto"/>
              <w:rPr>
                <w:rFonts w:eastAsia="Times New Roman"/>
                <w:b/>
                <w:bCs/>
                <w:color w:val="000000"/>
                <w:lang w:bidi="ar-SA"/>
              </w:rPr>
            </w:pPr>
            <w:r w:rsidRPr="00054805">
              <w:rPr>
                <w:rFonts w:eastAsia="Times New Roman"/>
                <w:b/>
                <w:bCs/>
                <w:color w:val="000000"/>
                <w:lang w:bidi="ar-SA"/>
              </w:rPr>
              <w:lastRenderedPageBreak/>
              <w:t>Chart 2. ADP by Borough of Arrest</w:t>
            </w:r>
          </w:p>
        </w:tc>
        <w:tc>
          <w:tcPr>
            <w:tcW w:w="1260" w:type="dxa"/>
            <w:tcBorders>
              <w:top w:val="nil"/>
              <w:left w:val="nil"/>
              <w:bottom w:val="nil"/>
              <w:right w:val="nil"/>
            </w:tcBorders>
            <w:shd w:val="clear" w:color="auto" w:fill="auto"/>
            <w:noWrap/>
            <w:vAlign w:val="bottom"/>
            <w:hideMark/>
          </w:tcPr>
          <w:p w14:paraId="06610B58" w14:textId="77777777" w:rsidR="00054805" w:rsidRPr="00054805" w:rsidRDefault="00054805" w:rsidP="00054805">
            <w:pPr>
              <w:widowControl/>
              <w:autoSpaceDE/>
              <w:autoSpaceDN/>
              <w:spacing w:after="0" w:line="240" w:lineRule="auto"/>
              <w:rPr>
                <w:rFonts w:eastAsia="Times New Roman"/>
                <w:b/>
                <w:bCs/>
                <w:color w:val="000000"/>
                <w:lang w:bidi="ar-SA"/>
              </w:rPr>
            </w:pPr>
          </w:p>
        </w:tc>
        <w:tc>
          <w:tcPr>
            <w:tcW w:w="1180" w:type="dxa"/>
            <w:tcBorders>
              <w:top w:val="nil"/>
              <w:left w:val="nil"/>
              <w:bottom w:val="nil"/>
              <w:right w:val="nil"/>
            </w:tcBorders>
            <w:shd w:val="clear" w:color="auto" w:fill="auto"/>
            <w:noWrap/>
            <w:vAlign w:val="bottom"/>
            <w:hideMark/>
          </w:tcPr>
          <w:p w14:paraId="53FCF16E" w14:textId="77777777" w:rsidR="00054805" w:rsidRPr="00054805" w:rsidRDefault="00054805" w:rsidP="00054805">
            <w:pPr>
              <w:widowControl/>
              <w:autoSpaceDE/>
              <w:autoSpaceDN/>
              <w:spacing w:after="0" w:line="240" w:lineRule="auto"/>
              <w:rPr>
                <w:rFonts w:ascii="Times New Roman" w:eastAsia="Times New Roman" w:hAnsi="Times New Roman" w:cs="Times New Roman"/>
                <w:sz w:val="20"/>
                <w:szCs w:val="20"/>
                <w:lang w:bidi="ar-SA"/>
              </w:rPr>
            </w:pPr>
          </w:p>
        </w:tc>
        <w:tc>
          <w:tcPr>
            <w:tcW w:w="1340" w:type="dxa"/>
            <w:tcBorders>
              <w:top w:val="nil"/>
              <w:left w:val="nil"/>
              <w:bottom w:val="nil"/>
              <w:right w:val="nil"/>
            </w:tcBorders>
            <w:shd w:val="clear" w:color="auto" w:fill="auto"/>
            <w:noWrap/>
            <w:vAlign w:val="bottom"/>
            <w:hideMark/>
          </w:tcPr>
          <w:p w14:paraId="29C6E739" w14:textId="77777777" w:rsidR="00054805" w:rsidRPr="00054805" w:rsidRDefault="00054805" w:rsidP="00054805">
            <w:pPr>
              <w:widowControl/>
              <w:autoSpaceDE/>
              <w:autoSpaceDN/>
              <w:spacing w:after="0" w:line="240" w:lineRule="auto"/>
              <w:rPr>
                <w:rFonts w:ascii="Times New Roman" w:eastAsia="Times New Roman" w:hAnsi="Times New Roman" w:cs="Times New Roman"/>
                <w:sz w:val="20"/>
                <w:szCs w:val="20"/>
                <w:lang w:bidi="ar-SA"/>
              </w:rPr>
            </w:pPr>
          </w:p>
        </w:tc>
      </w:tr>
      <w:tr w:rsidR="00054805" w:rsidRPr="00054805" w14:paraId="66CF0760" w14:textId="77777777" w:rsidTr="00054805">
        <w:trPr>
          <w:trHeight w:val="315"/>
        </w:trPr>
        <w:tc>
          <w:tcPr>
            <w:tcW w:w="52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A9B6062" w14:textId="77777777" w:rsidR="00054805" w:rsidRPr="00054805" w:rsidRDefault="00054805" w:rsidP="00054805">
            <w:pPr>
              <w:widowControl/>
              <w:autoSpaceDE/>
              <w:autoSpaceDN/>
              <w:spacing w:after="0" w:line="240" w:lineRule="auto"/>
              <w:rPr>
                <w:rFonts w:eastAsia="Times New Roman"/>
                <w:b/>
                <w:bCs/>
                <w:color w:val="000000"/>
                <w:lang w:bidi="ar-SA"/>
              </w:rPr>
            </w:pPr>
            <w:r w:rsidRPr="00054805">
              <w:rPr>
                <w:rFonts w:eastAsia="Times New Roman"/>
                <w:b/>
                <w:bCs/>
                <w:color w:val="000000"/>
                <w:lang w:bidi="ar-SA"/>
              </w:rPr>
              <w:t>Borough</w:t>
            </w:r>
          </w:p>
        </w:tc>
        <w:tc>
          <w:tcPr>
            <w:tcW w:w="1260" w:type="dxa"/>
            <w:tcBorders>
              <w:top w:val="single" w:sz="8" w:space="0" w:color="auto"/>
              <w:left w:val="nil"/>
              <w:bottom w:val="single" w:sz="8" w:space="0" w:color="auto"/>
              <w:right w:val="single" w:sz="8" w:space="0" w:color="auto"/>
            </w:tcBorders>
            <w:shd w:val="clear" w:color="000000" w:fill="BFBFBF"/>
            <w:noWrap/>
            <w:vAlign w:val="center"/>
            <w:hideMark/>
          </w:tcPr>
          <w:p w14:paraId="55CD4D91"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2013</w:t>
            </w:r>
          </w:p>
        </w:tc>
        <w:tc>
          <w:tcPr>
            <w:tcW w:w="1180" w:type="dxa"/>
            <w:tcBorders>
              <w:top w:val="single" w:sz="8" w:space="0" w:color="auto"/>
              <w:left w:val="nil"/>
              <w:bottom w:val="single" w:sz="8" w:space="0" w:color="auto"/>
              <w:right w:val="single" w:sz="8" w:space="0" w:color="auto"/>
            </w:tcBorders>
            <w:shd w:val="clear" w:color="000000" w:fill="BFBFBF"/>
            <w:noWrap/>
            <w:vAlign w:val="center"/>
            <w:hideMark/>
          </w:tcPr>
          <w:p w14:paraId="402595D5"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2023</w:t>
            </w:r>
          </w:p>
        </w:tc>
        <w:tc>
          <w:tcPr>
            <w:tcW w:w="1340" w:type="dxa"/>
            <w:tcBorders>
              <w:top w:val="single" w:sz="8" w:space="0" w:color="auto"/>
              <w:left w:val="nil"/>
              <w:bottom w:val="single" w:sz="8" w:space="0" w:color="auto"/>
              <w:right w:val="single" w:sz="8" w:space="0" w:color="auto"/>
            </w:tcBorders>
            <w:shd w:val="clear" w:color="000000" w:fill="BFBFBF"/>
            <w:noWrap/>
            <w:vAlign w:val="center"/>
            <w:hideMark/>
          </w:tcPr>
          <w:p w14:paraId="7CF1E444"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 Change</w:t>
            </w:r>
          </w:p>
        </w:tc>
      </w:tr>
      <w:tr w:rsidR="00054805" w:rsidRPr="00054805" w14:paraId="257C7FB3"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2F5AE5B0"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MN</w:t>
            </w:r>
          </w:p>
        </w:tc>
        <w:tc>
          <w:tcPr>
            <w:tcW w:w="1260" w:type="dxa"/>
            <w:tcBorders>
              <w:top w:val="nil"/>
              <w:left w:val="nil"/>
              <w:bottom w:val="single" w:sz="8" w:space="0" w:color="auto"/>
              <w:right w:val="single" w:sz="8" w:space="0" w:color="auto"/>
            </w:tcBorders>
            <w:shd w:val="clear" w:color="000000" w:fill="FFFFFF"/>
            <w:noWrap/>
            <w:vAlign w:val="center"/>
            <w:hideMark/>
          </w:tcPr>
          <w:p w14:paraId="4D2A556C"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3,674</w:t>
            </w:r>
          </w:p>
        </w:tc>
        <w:tc>
          <w:tcPr>
            <w:tcW w:w="1180" w:type="dxa"/>
            <w:tcBorders>
              <w:top w:val="nil"/>
              <w:left w:val="nil"/>
              <w:bottom w:val="single" w:sz="8" w:space="0" w:color="auto"/>
              <w:right w:val="single" w:sz="8" w:space="0" w:color="auto"/>
            </w:tcBorders>
            <w:shd w:val="clear" w:color="000000" w:fill="FFFFFF"/>
            <w:noWrap/>
            <w:vAlign w:val="center"/>
            <w:hideMark/>
          </w:tcPr>
          <w:p w14:paraId="6C1BEAD2"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1,836</w:t>
            </w:r>
          </w:p>
        </w:tc>
        <w:tc>
          <w:tcPr>
            <w:tcW w:w="1340" w:type="dxa"/>
            <w:tcBorders>
              <w:top w:val="nil"/>
              <w:left w:val="nil"/>
              <w:bottom w:val="single" w:sz="8" w:space="0" w:color="auto"/>
              <w:right w:val="single" w:sz="8" w:space="0" w:color="auto"/>
            </w:tcBorders>
            <w:shd w:val="clear" w:color="000000" w:fill="FFFFFF"/>
            <w:noWrap/>
            <w:vAlign w:val="center"/>
            <w:hideMark/>
          </w:tcPr>
          <w:p w14:paraId="060C6B49"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-50%</w:t>
            </w:r>
          </w:p>
        </w:tc>
      </w:tr>
      <w:tr w:rsidR="00054805" w:rsidRPr="00054805" w14:paraId="5892FF32"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343BC800"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BK</w:t>
            </w:r>
          </w:p>
        </w:tc>
        <w:tc>
          <w:tcPr>
            <w:tcW w:w="1260" w:type="dxa"/>
            <w:tcBorders>
              <w:top w:val="nil"/>
              <w:left w:val="nil"/>
              <w:bottom w:val="single" w:sz="8" w:space="0" w:color="auto"/>
              <w:right w:val="single" w:sz="8" w:space="0" w:color="auto"/>
            </w:tcBorders>
            <w:shd w:val="clear" w:color="000000" w:fill="FFFFFF"/>
            <w:noWrap/>
            <w:vAlign w:val="center"/>
            <w:hideMark/>
          </w:tcPr>
          <w:p w14:paraId="747476E6"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2,638</w:t>
            </w:r>
          </w:p>
        </w:tc>
        <w:tc>
          <w:tcPr>
            <w:tcW w:w="1180" w:type="dxa"/>
            <w:tcBorders>
              <w:top w:val="nil"/>
              <w:left w:val="nil"/>
              <w:bottom w:val="single" w:sz="8" w:space="0" w:color="auto"/>
              <w:right w:val="single" w:sz="8" w:space="0" w:color="auto"/>
            </w:tcBorders>
            <w:shd w:val="clear" w:color="000000" w:fill="FFFFFF"/>
            <w:noWrap/>
            <w:vAlign w:val="center"/>
            <w:hideMark/>
          </w:tcPr>
          <w:p w14:paraId="330239A9"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1,561</w:t>
            </w:r>
          </w:p>
        </w:tc>
        <w:tc>
          <w:tcPr>
            <w:tcW w:w="1340" w:type="dxa"/>
            <w:tcBorders>
              <w:top w:val="nil"/>
              <w:left w:val="nil"/>
              <w:bottom w:val="single" w:sz="8" w:space="0" w:color="auto"/>
              <w:right w:val="single" w:sz="8" w:space="0" w:color="auto"/>
            </w:tcBorders>
            <w:shd w:val="clear" w:color="000000" w:fill="FFFFFF"/>
            <w:noWrap/>
            <w:vAlign w:val="center"/>
            <w:hideMark/>
          </w:tcPr>
          <w:p w14:paraId="776AD5A4"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-41%</w:t>
            </w:r>
          </w:p>
        </w:tc>
      </w:tr>
      <w:tr w:rsidR="00054805" w:rsidRPr="00054805" w14:paraId="4DE374E5"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1A54FC81"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QN</w:t>
            </w:r>
          </w:p>
        </w:tc>
        <w:tc>
          <w:tcPr>
            <w:tcW w:w="1260" w:type="dxa"/>
            <w:tcBorders>
              <w:top w:val="nil"/>
              <w:left w:val="nil"/>
              <w:bottom w:val="single" w:sz="8" w:space="0" w:color="auto"/>
              <w:right w:val="single" w:sz="8" w:space="0" w:color="auto"/>
            </w:tcBorders>
            <w:shd w:val="clear" w:color="000000" w:fill="FFFFFF"/>
            <w:noWrap/>
            <w:vAlign w:val="center"/>
            <w:hideMark/>
          </w:tcPr>
          <w:p w14:paraId="4967A473"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1,932</w:t>
            </w:r>
          </w:p>
        </w:tc>
        <w:tc>
          <w:tcPr>
            <w:tcW w:w="1180" w:type="dxa"/>
            <w:tcBorders>
              <w:top w:val="nil"/>
              <w:left w:val="nil"/>
              <w:bottom w:val="single" w:sz="8" w:space="0" w:color="auto"/>
              <w:right w:val="single" w:sz="8" w:space="0" w:color="auto"/>
            </w:tcBorders>
            <w:shd w:val="clear" w:color="000000" w:fill="FFFFFF"/>
            <w:noWrap/>
            <w:vAlign w:val="center"/>
            <w:hideMark/>
          </w:tcPr>
          <w:p w14:paraId="281CA379"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1,136</w:t>
            </w:r>
          </w:p>
        </w:tc>
        <w:tc>
          <w:tcPr>
            <w:tcW w:w="1340" w:type="dxa"/>
            <w:tcBorders>
              <w:top w:val="nil"/>
              <w:left w:val="nil"/>
              <w:bottom w:val="single" w:sz="8" w:space="0" w:color="auto"/>
              <w:right w:val="single" w:sz="8" w:space="0" w:color="auto"/>
            </w:tcBorders>
            <w:shd w:val="clear" w:color="000000" w:fill="FFFFFF"/>
            <w:noWrap/>
            <w:vAlign w:val="center"/>
            <w:hideMark/>
          </w:tcPr>
          <w:p w14:paraId="6DB82EAC"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-41%</w:t>
            </w:r>
          </w:p>
        </w:tc>
      </w:tr>
      <w:tr w:rsidR="00054805" w:rsidRPr="00054805" w14:paraId="153D4D0B"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2A084B23"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BX</w:t>
            </w:r>
          </w:p>
        </w:tc>
        <w:tc>
          <w:tcPr>
            <w:tcW w:w="1260" w:type="dxa"/>
            <w:tcBorders>
              <w:top w:val="nil"/>
              <w:left w:val="nil"/>
              <w:bottom w:val="single" w:sz="8" w:space="0" w:color="auto"/>
              <w:right w:val="single" w:sz="8" w:space="0" w:color="auto"/>
            </w:tcBorders>
            <w:shd w:val="clear" w:color="000000" w:fill="FFFFFF"/>
            <w:noWrap/>
            <w:vAlign w:val="center"/>
            <w:hideMark/>
          </w:tcPr>
          <w:p w14:paraId="1B373E4E"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2,480</w:t>
            </w:r>
          </w:p>
        </w:tc>
        <w:tc>
          <w:tcPr>
            <w:tcW w:w="1180" w:type="dxa"/>
            <w:tcBorders>
              <w:top w:val="nil"/>
              <w:left w:val="nil"/>
              <w:bottom w:val="single" w:sz="8" w:space="0" w:color="auto"/>
              <w:right w:val="single" w:sz="8" w:space="0" w:color="auto"/>
            </w:tcBorders>
            <w:shd w:val="clear" w:color="000000" w:fill="FFFFFF"/>
            <w:noWrap/>
            <w:vAlign w:val="center"/>
            <w:hideMark/>
          </w:tcPr>
          <w:p w14:paraId="315DFFD8"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1,164</w:t>
            </w:r>
          </w:p>
        </w:tc>
        <w:tc>
          <w:tcPr>
            <w:tcW w:w="1340" w:type="dxa"/>
            <w:tcBorders>
              <w:top w:val="nil"/>
              <w:left w:val="nil"/>
              <w:bottom w:val="single" w:sz="8" w:space="0" w:color="auto"/>
              <w:right w:val="single" w:sz="8" w:space="0" w:color="auto"/>
            </w:tcBorders>
            <w:shd w:val="clear" w:color="000000" w:fill="FFFFFF"/>
            <w:noWrap/>
            <w:vAlign w:val="center"/>
            <w:hideMark/>
          </w:tcPr>
          <w:p w14:paraId="7E2CBC36"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-53%</w:t>
            </w:r>
          </w:p>
        </w:tc>
      </w:tr>
      <w:tr w:rsidR="00054805" w:rsidRPr="00054805" w14:paraId="30FCADE2"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6BC16859"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SI</w:t>
            </w:r>
          </w:p>
        </w:tc>
        <w:tc>
          <w:tcPr>
            <w:tcW w:w="1260" w:type="dxa"/>
            <w:tcBorders>
              <w:top w:val="nil"/>
              <w:left w:val="nil"/>
              <w:bottom w:val="single" w:sz="8" w:space="0" w:color="auto"/>
              <w:right w:val="single" w:sz="8" w:space="0" w:color="auto"/>
            </w:tcBorders>
            <w:shd w:val="clear" w:color="000000" w:fill="FFFFFF"/>
            <w:noWrap/>
            <w:vAlign w:val="center"/>
            <w:hideMark/>
          </w:tcPr>
          <w:p w14:paraId="75CD17D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290</w:t>
            </w:r>
          </w:p>
        </w:tc>
        <w:tc>
          <w:tcPr>
            <w:tcW w:w="1180" w:type="dxa"/>
            <w:tcBorders>
              <w:top w:val="nil"/>
              <w:left w:val="nil"/>
              <w:bottom w:val="single" w:sz="8" w:space="0" w:color="auto"/>
              <w:right w:val="single" w:sz="8" w:space="0" w:color="auto"/>
            </w:tcBorders>
            <w:shd w:val="clear" w:color="000000" w:fill="FFFFFF"/>
            <w:noWrap/>
            <w:vAlign w:val="center"/>
            <w:hideMark/>
          </w:tcPr>
          <w:p w14:paraId="58196B1A"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237</w:t>
            </w:r>
          </w:p>
        </w:tc>
        <w:tc>
          <w:tcPr>
            <w:tcW w:w="1340" w:type="dxa"/>
            <w:tcBorders>
              <w:top w:val="nil"/>
              <w:left w:val="nil"/>
              <w:bottom w:val="single" w:sz="8" w:space="0" w:color="auto"/>
              <w:right w:val="single" w:sz="8" w:space="0" w:color="auto"/>
            </w:tcBorders>
            <w:shd w:val="clear" w:color="000000" w:fill="FFFFFF"/>
            <w:noWrap/>
            <w:vAlign w:val="center"/>
            <w:hideMark/>
          </w:tcPr>
          <w:p w14:paraId="622E9AFC"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-18%</w:t>
            </w:r>
          </w:p>
        </w:tc>
      </w:tr>
      <w:tr w:rsidR="00054805" w:rsidRPr="00054805" w14:paraId="635AA672"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68A78600"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Unidentified</w:t>
            </w:r>
          </w:p>
        </w:tc>
        <w:tc>
          <w:tcPr>
            <w:tcW w:w="1260" w:type="dxa"/>
            <w:tcBorders>
              <w:top w:val="nil"/>
              <w:left w:val="nil"/>
              <w:bottom w:val="single" w:sz="8" w:space="0" w:color="auto"/>
              <w:right w:val="single" w:sz="8" w:space="0" w:color="auto"/>
            </w:tcBorders>
            <w:shd w:val="clear" w:color="000000" w:fill="FFFFFF"/>
            <w:noWrap/>
            <w:vAlign w:val="center"/>
            <w:hideMark/>
          </w:tcPr>
          <w:p w14:paraId="7DCC921A"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661</w:t>
            </w:r>
          </w:p>
        </w:tc>
        <w:tc>
          <w:tcPr>
            <w:tcW w:w="1180" w:type="dxa"/>
            <w:tcBorders>
              <w:top w:val="nil"/>
              <w:left w:val="nil"/>
              <w:bottom w:val="single" w:sz="8" w:space="0" w:color="auto"/>
              <w:right w:val="single" w:sz="8" w:space="0" w:color="auto"/>
            </w:tcBorders>
            <w:shd w:val="clear" w:color="000000" w:fill="FFFFFF"/>
            <w:noWrap/>
            <w:vAlign w:val="center"/>
            <w:hideMark/>
          </w:tcPr>
          <w:p w14:paraId="2C0DE310"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22</w:t>
            </w:r>
          </w:p>
        </w:tc>
        <w:tc>
          <w:tcPr>
            <w:tcW w:w="1340" w:type="dxa"/>
            <w:tcBorders>
              <w:top w:val="nil"/>
              <w:left w:val="nil"/>
              <w:bottom w:val="single" w:sz="8" w:space="0" w:color="auto"/>
              <w:right w:val="single" w:sz="8" w:space="0" w:color="auto"/>
            </w:tcBorders>
            <w:shd w:val="clear" w:color="000000" w:fill="FFFFFF"/>
            <w:noWrap/>
            <w:vAlign w:val="center"/>
            <w:hideMark/>
          </w:tcPr>
          <w:p w14:paraId="2BCC9AC8"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-97%</w:t>
            </w:r>
          </w:p>
        </w:tc>
      </w:tr>
      <w:tr w:rsidR="00054805" w:rsidRPr="00054805" w14:paraId="65D4553E"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BFBFBF"/>
            <w:noWrap/>
            <w:vAlign w:val="center"/>
            <w:hideMark/>
          </w:tcPr>
          <w:p w14:paraId="27B061AC"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Total</w:t>
            </w:r>
          </w:p>
        </w:tc>
        <w:tc>
          <w:tcPr>
            <w:tcW w:w="1260" w:type="dxa"/>
            <w:tcBorders>
              <w:top w:val="nil"/>
              <w:left w:val="nil"/>
              <w:bottom w:val="single" w:sz="8" w:space="0" w:color="auto"/>
              <w:right w:val="single" w:sz="8" w:space="0" w:color="auto"/>
            </w:tcBorders>
            <w:shd w:val="clear" w:color="000000" w:fill="BFBFBF"/>
            <w:noWrap/>
            <w:vAlign w:val="center"/>
            <w:hideMark/>
          </w:tcPr>
          <w:p w14:paraId="349FB96F"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11,674</w:t>
            </w:r>
          </w:p>
        </w:tc>
        <w:tc>
          <w:tcPr>
            <w:tcW w:w="1180" w:type="dxa"/>
            <w:tcBorders>
              <w:top w:val="nil"/>
              <w:left w:val="nil"/>
              <w:bottom w:val="single" w:sz="8" w:space="0" w:color="auto"/>
              <w:right w:val="single" w:sz="8" w:space="0" w:color="auto"/>
            </w:tcBorders>
            <w:shd w:val="clear" w:color="000000" w:fill="BFBFBF"/>
            <w:noWrap/>
            <w:vAlign w:val="center"/>
            <w:hideMark/>
          </w:tcPr>
          <w:p w14:paraId="6E99A8C5"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5,957</w:t>
            </w:r>
          </w:p>
        </w:tc>
        <w:tc>
          <w:tcPr>
            <w:tcW w:w="1340" w:type="dxa"/>
            <w:tcBorders>
              <w:top w:val="nil"/>
              <w:left w:val="nil"/>
              <w:bottom w:val="single" w:sz="8" w:space="0" w:color="auto"/>
              <w:right w:val="single" w:sz="8" w:space="0" w:color="auto"/>
            </w:tcBorders>
            <w:shd w:val="clear" w:color="000000" w:fill="BFBFBF"/>
            <w:noWrap/>
            <w:vAlign w:val="center"/>
            <w:hideMark/>
          </w:tcPr>
          <w:p w14:paraId="17EC786B"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-49%</w:t>
            </w:r>
          </w:p>
        </w:tc>
      </w:tr>
    </w:tbl>
    <w:p w14:paraId="7F3C31A8" w14:textId="293F068B" w:rsidR="0079726C" w:rsidRDefault="0079726C" w:rsidP="0079726C">
      <w:pPr>
        <w:pStyle w:val="BodyText"/>
        <w:keepLines/>
        <w:topLinePunct/>
        <w:textAlignment w:val="top"/>
        <w:rPr>
          <w:rFonts w:eastAsia="SimSun" w:hAnsi="Arial Regular" w:cs="Arial Regular"/>
        </w:rPr>
      </w:pPr>
      <w:r>
        <w:rPr>
          <w:rFonts w:eastAsia="SimSun" w:hAnsi="Arial Regular" w:cs="Arial Regular"/>
        </w:rPr>
        <w:t>*MOCJ analysis of DOC data. Values may vary slightly from DOC analysis.</w:t>
      </w:r>
    </w:p>
    <w:p w14:paraId="4349EF5E" w14:textId="77777777" w:rsidR="0079726C" w:rsidRDefault="0079726C" w:rsidP="0079726C">
      <w:pPr>
        <w:pStyle w:val="BodyText"/>
        <w:keepLines/>
        <w:topLinePunct/>
        <w:textAlignment w:val="top"/>
        <w:rPr>
          <w:rFonts w:eastAsia="SimSun" w:hAnsi="Arial Regular" w:cs="Arial Regular"/>
        </w:rPr>
      </w:pPr>
    </w:p>
    <w:tbl>
      <w:tblPr>
        <w:tblW w:w="8980" w:type="dxa"/>
        <w:tblLook w:val="04A0" w:firstRow="1" w:lastRow="0" w:firstColumn="1" w:lastColumn="0" w:noHBand="0" w:noVBand="1"/>
      </w:tblPr>
      <w:tblGrid>
        <w:gridCol w:w="5200"/>
        <w:gridCol w:w="1260"/>
        <w:gridCol w:w="1180"/>
        <w:gridCol w:w="1340"/>
      </w:tblGrid>
      <w:tr w:rsidR="00054805" w:rsidRPr="00054805" w14:paraId="316D47E9" w14:textId="77777777" w:rsidTr="00054805">
        <w:trPr>
          <w:trHeight w:val="315"/>
        </w:trPr>
        <w:tc>
          <w:tcPr>
            <w:tcW w:w="5200" w:type="dxa"/>
            <w:tcBorders>
              <w:top w:val="nil"/>
              <w:left w:val="nil"/>
              <w:bottom w:val="nil"/>
              <w:right w:val="nil"/>
            </w:tcBorders>
            <w:shd w:val="clear" w:color="auto" w:fill="auto"/>
            <w:noWrap/>
            <w:vAlign w:val="bottom"/>
            <w:hideMark/>
          </w:tcPr>
          <w:p w14:paraId="02F566E4" w14:textId="77777777" w:rsidR="00054805" w:rsidRPr="00054805" w:rsidRDefault="00054805" w:rsidP="00054805">
            <w:pPr>
              <w:widowControl/>
              <w:autoSpaceDE/>
              <w:autoSpaceDN/>
              <w:spacing w:after="0" w:line="240" w:lineRule="auto"/>
              <w:rPr>
                <w:rFonts w:eastAsia="Times New Roman"/>
                <w:b/>
                <w:bCs/>
                <w:color w:val="000000"/>
                <w:lang w:bidi="ar-SA"/>
              </w:rPr>
            </w:pPr>
            <w:r w:rsidRPr="00054805">
              <w:rPr>
                <w:rFonts w:eastAsia="Times New Roman"/>
                <w:b/>
                <w:bCs/>
                <w:color w:val="000000"/>
                <w:lang w:bidi="ar-SA"/>
              </w:rPr>
              <w:t>Chart 3. ADP by Status Categories</w:t>
            </w:r>
          </w:p>
        </w:tc>
        <w:tc>
          <w:tcPr>
            <w:tcW w:w="1260" w:type="dxa"/>
            <w:tcBorders>
              <w:top w:val="nil"/>
              <w:left w:val="nil"/>
              <w:bottom w:val="nil"/>
              <w:right w:val="nil"/>
            </w:tcBorders>
            <w:shd w:val="clear" w:color="auto" w:fill="auto"/>
            <w:noWrap/>
            <w:vAlign w:val="bottom"/>
            <w:hideMark/>
          </w:tcPr>
          <w:p w14:paraId="1B78EEB4" w14:textId="77777777" w:rsidR="00054805" w:rsidRPr="00054805" w:rsidRDefault="00054805" w:rsidP="00054805">
            <w:pPr>
              <w:widowControl/>
              <w:autoSpaceDE/>
              <w:autoSpaceDN/>
              <w:spacing w:after="0" w:line="240" w:lineRule="auto"/>
              <w:rPr>
                <w:rFonts w:eastAsia="Times New Roman"/>
                <w:b/>
                <w:bCs/>
                <w:color w:val="000000"/>
                <w:lang w:bidi="ar-SA"/>
              </w:rPr>
            </w:pPr>
          </w:p>
        </w:tc>
        <w:tc>
          <w:tcPr>
            <w:tcW w:w="1180" w:type="dxa"/>
            <w:tcBorders>
              <w:top w:val="nil"/>
              <w:left w:val="nil"/>
              <w:bottom w:val="nil"/>
              <w:right w:val="nil"/>
            </w:tcBorders>
            <w:shd w:val="clear" w:color="auto" w:fill="auto"/>
            <w:noWrap/>
            <w:vAlign w:val="bottom"/>
            <w:hideMark/>
          </w:tcPr>
          <w:p w14:paraId="096A39E0" w14:textId="77777777" w:rsidR="00054805" w:rsidRPr="00054805" w:rsidRDefault="00054805" w:rsidP="00054805">
            <w:pPr>
              <w:widowControl/>
              <w:autoSpaceDE/>
              <w:autoSpaceDN/>
              <w:spacing w:after="0" w:line="240" w:lineRule="auto"/>
              <w:rPr>
                <w:rFonts w:ascii="Times New Roman" w:eastAsia="Times New Roman" w:hAnsi="Times New Roman" w:cs="Times New Roman"/>
                <w:sz w:val="20"/>
                <w:szCs w:val="20"/>
                <w:lang w:bidi="ar-SA"/>
              </w:rPr>
            </w:pPr>
          </w:p>
        </w:tc>
        <w:tc>
          <w:tcPr>
            <w:tcW w:w="1340" w:type="dxa"/>
            <w:tcBorders>
              <w:top w:val="nil"/>
              <w:left w:val="nil"/>
              <w:bottom w:val="nil"/>
              <w:right w:val="nil"/>
            </w:tcBorders>
            <w:shd w:val="clear" w:color="auto" w:fill="auto"/>
            <w:noWrap/>
            <w:vAlign w:val="bottom"/>
            <w:hideMark/>
          </w:tcPr>
          <w:p w14:paraId="4B3AFF9F" w14:textId="77777777" w:rsidR="00054805" w:rsidRPr="00054805" w:rsidRDefault="00054805" w:rsidP="00054805">
            <w:pPr>
              <w:widowControl/>
              <w:autoSpaceDE/>
              <w:autoSpaceDN/>
              <w:spacing w:after="0" w:line="240" w:lineRule="auto"/>
              <w:rPr>
                <w:rFonts w:ascii="Times New Roman" w:eastAsia="Times New Roman" w:hAnsi="Times New Roman" w:cs="Times New Roman"/>
                <w:sz w:val="20"/>
                <w:szCs w:val="20"/>
                <w:lang w:bidi="ar-SA"/>
              </w:rPr>
            </w:pPr>
          </w:p>
        </w:tc>
      </w:tr>
      <w:tr w:rsidR="00054805" w:rsidRPr="00054805" w14:paraId="7B165A6D" w14:textId="77777777" w:rsidTr="00054805">
        <w:trPr>
          <w:trHeight w:val="315"/>
        </w:trPr>
        <w:tc>
          <w:tcPr>
            <w:tcW w:w="52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86C849E" w14:textId="77777777" w:rsidR="00054805" w:rsidRPr="00054805" w:rsidRDefault="00054805" w:rsidP="00054805">
            <w:pPr>
              <w:widowControl/>
              <w:autoSpaceDE/>
              <w:autoSpaceDN/>
              <w:spacing w:after="0" w:line="240" w:lineRule="auto"/>
              <w:rPr>
                <w:rFonts w:eastAsia="Times New Roman"/>
                <w:b/>
                <w:bCs/>
                <w:color w:val="000000"/>
                <w:lang w:bidi="ar-SA"/>
              </w:rPr>
            </w:pPr>
            <w:r w:rsidRPr="00054805">
              <w:rPr>
                <w:rFonts w:eastAsia="Times New Roman"/>
                <w:b/>
                <w:bCs/>
                <w:color w:val="000000"/>
                <w:lang w:bidi="ar-SA"/>
              </w:rPr>
              <w:t xml:space="preserve">Status Categories </w:t>
            </w:r>
          </w:p>
        </w:tc>
        <w:tc>
          <w:tcPr>
            <w:tcW w:w="1260" w:type="dxa"/>
            <w:tcBorders>
              <w:top w:val="single" w:sz="8" w:space="0" w:color="auto"/>
              <w:left w:val="nil"/>
              <w:bottom w:val="single" w:sz="8" w:space="0" w:color="auto"/>
              <w:right w:val="single" w:sz="8" w:space="0" w:color="auto"/>
            </w:tcBorders>
            <w:shd w:val="clear" w:color="000000" w:fill="BFBFBF"/>
            <w:noWrap/>
            <w:vAlign w:val="center"/>
            <w:hideMark/>
          </w:tcPr>
          <w:p w14:paraId="06288C7A"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2013</w:t>
            </w:r>
          </w:p>
        </w:tc>
        <w:tc>
          <w:tcPr>
            <w:tcW w:w="1180" w:type="dxa"/>
            <w:tcBorders>
              <w:top w:val="single" w:sz="8" w:space="0" w:color="auto"/>
              <w:left w:val="nil"/>
              <w:bottom w:val="single" w:sz="8" w:space="0" w:color="auto"/>
              <w:right w:val="single" w:sz="8" w:space="0" w:color="auto"/>
            </w:tcBorders>
            <w:shd w:val="clear" w:color="000000" w:fill="BFBFBF"/>
            <w:noWrap/>
            <w:vAlign w:val="center"/>
            <w:hideMark/>
          </w:tcPr>
          <w:p w14:paraId="5CA1C716"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2023</w:t>
            </w:r>
          </w:p>
        </w:tc>
        <w:tc>
          <w:tcPr>
            <w:tcW w:w="1340" w:type="dxa"/>
            <w:tcBorders>
              <w:top w:val="single" w:sz="8" w:space="0" w:color="auto"/>
              <w:left w:val="nil"/>
              <w:bottom w:val="single" w:sz="8" w:space="0" w:color="auto"/>
              <w:right w:val="single" w:sz="8" w:space="0" w:color="auto"/>
            </w:tcBorders>
            <w:shd w:val="clear" w:color="000000" w:fill="BFBFBF"/>
            <w:noWrap/>
            <w:vAlign w:val="center"/>
            <w:hideMark/>
          </w:tcPr>
          <w:p w14:paraId="455F7B9F"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 Change</w:t>
            </w:r>
          </w:p>
        </w:tc>
      </w:tr>
      <w:tr w:rsidR="00054805" w:rsidRPr="00054805" w14:paraId="1773837E"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2397F55F"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Pretrial Detainee</w:t>
            </w:r>
          </w:p>
        </w:tc>
        <w:tc>
          <w:tcPr>
            <w:tcW w:w="1260" w:type="dxa"/>
            <w:tcBorders>
              <w:top w:val="nil"/>
              <w:left w:val="nil"/>
              <w:bottom w:val="single" w:sz="8" w:space="0" w:color="auto"/>
              <w:right w:val="single" w:sz="8" w:space="0" w:color="auto"/>
            </w:tcBorders>
            <w:shd w:val="clear" w:color="000000" w:fill="FFFFFF"/>
            <w:noWrap/>
            <w:vAlign w:val="center"/>
            <w:hideMark/>
          </w:tcPr>
          <w:p w14:paraId="17ACF509"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8,032</w:t>
            </w:r>
          </w:p>
        </w:tc>
        <w:tc>
          <w:tcPr>
            <w:tcW w:w="1180" w:type="dxa"/>
            <w:tcBorders>
              <w:top w:val="nil"/>
              <w:left w:val="nil"/>
              <w:bottom w:val="single" w:sz="8" w:space="0" w:color="auto"/>
              <w:right w:val="single" w:sz="8" w:space="0" w:color="auto"/>
            </w:tcBorders>
            <w:shd w:val="clear" w:color="000000" w:fill="FFFFFF"/>
            <w:noWrap/>
            <w:vAlign w:val="center"/>
            <w:hideMark/>
          </w:tcPr>
          <w:p w14:paraId="61412499"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5,159</w:t>
            </w:r>
          </w:p>
        </w:tc>
        <w:tc>
          <w:tcPr>
            <w:tcW w:w="1340" w:type="dxa"/>
            <w:tcBorders>
              <w:top w:val="nil"/>
              <w:left w:val="nil"/>
              <w:bottom w:val="single" w:sz="8" w:space="0" w:color="auto"/>
              <w:right w:val="single" w:sz="8" w:space="0" w:color="auto"/>
            </w:tcBorders>
            <w:shd w:val="clear" w:color="000000" w:fill="FFFFFF"/>
            <w:noWrap/>
            <w:vAlign w:val="center"/>
            <w:hideMark/>
          </w:tcPr>
          <w:p w14:paraId="1B25E29E"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-36%</w:t>
            </w:r>
          </w:p>
        </w:tc>
      </w:tr>
      <w:tr w:rsidR="00054805" w:rsidRPr="00054805" w14:paraId="4BB1449F"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4588462D"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Pretrial Detainee with Parole Warrant</w:t>
            </w:r>
          </w:p>
        </w:tc>
        <w:tc>
          <w:tcPr>
            <w:tcW w:w="1260" w:type="dxa"/>
            <w:tcBorders>
              <w:top w:val="nil"/>
              <w:left w:val="nil"/>
              <w:bottom w:val="single" w:sz="8" w:space="0" w:color="auto"/>
              <w:right w:val="single" w:sz="8" w:space="0" w:color="auto"/>
            </w:tcBorders>
            <w:shd w:val="clear" w:color="000000" w:fill="FFFFFF"/>
            <w:noWrap/>
            <w:vAlign w:val="center"/>
            <w:hideMark/>
          </w:tcPr>
          <w:p w14:paraId="17F8F82E"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891</w:t>
            </w:r>
          </w:p>
        </w:tc>
        <w:tc>
          <w:tcPr>
            <w:tcW w:w="1180" w:type="dxa"/>
            <w:tcBorders>
              <w:top w:val="nil"/>
              <w:left w:val="nil"/>
              <w:bottom w:val="single" w:sz="8" w:space="0" w:color="auto"/>
              <w:right w:val="single" w:sz="8" w:space="0" w:color="auto"/>
            </w:tcBorders>
            <w:shd w:val="clear" w:color="000000" w:fill="FFFFFF"/>
            <w:noWrap/>
            <w:vAlign w:val="center"/>
            <w:hideMark/>
          </w:tcPr>
          <w:p w14:paraId="4555A94B"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181</w:t>
            </w:r>
          </w:p>
        </w:tc>
        <w:tc>
          <w:tcPr>
            <w:tcW w:w="1340" w:type="dxa"/>
            <w:tcBorders>
              <w:top w:val="nil"/>
              <w:left w:val="nil"/>
              <w:bottom w:val="single" w:sz="8" w:space="0" w:color="auto"/>
              <w:right w:val="single" w:sz="8" w:space="0" w:color="auto"/>
            </w:tcBorders>
            <w:shd w:val="clear" w:color="000000" w:fill="FFFFFF"/>
            <w:noWrap/>
            <w:vAlign w:val="center"/>
            <w:hideMark/>
          </w:tcPr>
          <w:p w14:paraId="024C7F03"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-80%</w:t>
            </w:r>
          </w:p>
        </w:tc>
      </w:tr>
      <w:tr w:rsidR="00054805" w:rsidRPr="00054805" w14:paraId="3E3B5A8A"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6AA259E2"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Sentenced</w:t>
            </w:r>
          </w:p>
        </w:tc>
        <w:tc>
          <w:tcPr>
            <w:tcW w:w="1260" w:type="dxa"/>
            <w:tcBorders>
              <w:top w:val="nil"/>
              <w:left w:val="nil"/>
              <w:bottom w:val="single" w:sz="8" w:space="0" w:color="auto"/>
              <w:right w:val="single" w:sz="8" w:space="0" w:color="auto"/>
            </w:tcBorders>
            <w:shd w:val="clear" w:color="000000" w:fill="FFFFFF"/>
            <w:noWrap/>
            <w:vAlign w:val="center"/>
            <w:hideMark/>
          </w:tcPr>
          <w:p w14:paraId="715F26F0"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2,038</w:t>
            </w:r>
          </w:p>
        </w:tc>
        <w:tc>
          <w:tcPr>
            <w:tcW w:w="1180" w:type="dxa"/>
            <w:tcBorders>
              <w:top w:val="nil"/>
              <w:left w:val="nil"/>
              <w:bottom w:val="single" w:sz="8" w:space="0" w:color="auto"/>
              <w:right w:val="single" w:sz="8" w:space="0" w:color="auto"/>
            </w:tcBorders>
            <w:shd w:val="clear" w:color="000000" w:fill="FFFFFF"/>
            <w:noWrap/>
            <w:vAlign w:val="center"/>
            <w:hideMark/>
          </w:tcPr>
          <w:p w14:paraId="6A65BE58"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608</w:t>
            </w:r>
          </w:p>
        </w:tc>
        <w:tc>
          <w:tcPr>
            <w:tcW w:w="1340" w:type="dxa"/>
            <w:tcBorders>
              <w:top w:val="nil"/>
              <w:left w:val="nil"/>
              <w:bottom w:val="single" w:sz="8" w:space="0" w:color="auto"/>
              <w:right w:val="single" w:sz="8" w:space="0" w:color="auto"/>
            </w:tcBorders>
            <w:shd w:val="clear" w:color="000000" w:fill="FFFFFF"/>
            <w:noWrap/>
            <w:vAlign w:val="center"/>
            <w:hideMark/>
          </w:tcPr>
          <w:p w14:paraId="5C442B3B"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-70%</w:t>
            </w:r>
          </w:p>
        </w:tc>
      </w:tr>
      <w:tr w:rsidR="00054805" w:rsidRPr="00054805" w14:paraId="1D867BFE"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060D2D63"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Technical Parole Violator</w:t>
            </w:r>
          </w:p>
        </w:tc>
        <w:tc>
          <w:tcPr>
            <w:tcW w:w="1260" w:type="dxa"/>
            <w:tcBorders>
              <w:top w:val="nil"/>
              <w:left w:val="nil"/>
              <w:bottom w:val="single" w:sz="8" w:space="0" w:color="auto"/>
              <w:right w:val="single" w:sz="8" w:space="0" w:color="auto"/>
            </w:tcBorders>
            <w:shd w:val="clear" w:color="000000" w:fill="FFFFFF"/>
            <w:noWrap/>
            <w:vAlign w:val="center"/>
            <w:hideMark/>
          </w:tcPr>
          <w:p w14:paraId="4292ECDB"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592</w:t>
            </w:r>
          </w:p>
        </w:tc>
        <w:tc>
          <w:tcPr>
            <w:tcW w:w="1180" w:type="dxa"/>
            <w:tcBorders>
              <w:top w:val="nil"/>
              <w:left w:val="nil"/>
              <w:bottom w:val="single" w:sz="8" w:space="0" w:color="auto"/>
              <w:right w:val="single" w:sz="8" w:space="0" w:color="auto"/>
            </w:tcBorders>
            <w:shd w:val="clear" w:color="000000" w:fill="FFFFFF"/>
            <w:noWrap/>
            <w:vAlign w:val="center"/>
            <w:hideMark/>
          </w:tcPr>
          <w:p w14:paraId="199568C0"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6</w:t>
            </w:r>
          </w:p>
        </w:tc>
        <w:tc>
          <w:tcPr>
            <w:tcW w:w="1340" w:type="dxa"/>
            <w:tcBorders>
              <w:top w:val="nil"/>
              <w:left w:val="nil"/>
              <w:bottom w:val="single" w:sz="8" w:space="0" w:color="auto"/>
              <w:right w:val="single" w:sz="8" w:space="0" w:color="auto"/>
            </w:tcBorders>
            <w:shd w:val="clear" w:color="000000" w:fill="FFFFFF"/>
            <w:noWrap/>
            <w:vAlign w:val="center"/>
            <w:hideMark/>
          </w:tcPr>
          <w:p w14:paraId="13E04367"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-99%</w:t>
            </w:r>
          </w:p>
        </w:tc>
      </w:tr>
      <w:tr w:rsidR="00054805" w:rsidRPr="00054805" w14:paraId="5E344B63"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FFFFFF"/>
            <w:noWrap/>
            <w:vAlign w:val="center"/>
            <w:hideMark/>
          </w:tcPr>
          <w:p w14:paraId="4B4F943E"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Other</w:t>
            </w:r>
          </w:p>
        </w:tc>
        <w:tc>
          <w:tcPr>
            <w:tcW w:w="1260" w:type="dxa"/>
            <w:tcBorders>
              <w:top w:val="nil"/>
              <w:left w:val="nil"/>
              <w:bottom w:val="single" w:sz="8" w:space="0" w:color="auto"/>
              <w:right w:val="single" w:sz="8" w:space="0" w:color="auto"/>
            </w:tcBorders>
            <w:shd w:val="clear" w:color="000000" w:fill="FFFFFF"/>
            <w:noWrap/>
            <w:vAlign w:val="center"/>
            <w:hideMark/>
          </w:tcPr>
          <w:p w14:paraId="46F6E79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121</w:t>
            </w:r>
          </w:p>
        </w:tc>
        <w:tc>
          <w:tcPr>
            <w:tcW w:w="1180" w:type="dxa"/>
            <w:tcBorders>
              <w:top w:val="nil"/>
              <w:left w:val="nil"/>
              <w:bottom w:val="single" w:sz="8" w:space="0" w:color="auto"/>
              <w:right w:val="single" w:sz="8" w:space="0" w:color="auto"/>
            </w:tcBorders>
            <w:shd w:val="clear" w:color="000000" w:fill="FFFFFF"/>
            <w:noWrap/>
            <w:vAlign w:val="center"/>
            <w:hideMark/>
          </w:tcPr>
          <w:p w14:paraId="09204AC1"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3</w:t>
            </w:r>
          </w:p>
        </w:tc>
        <w:tc>
          <w:tcPr>
            <w:tcW w:w="1340" w:type="dxa"/>
            <w:tcBorders>
              <w:top w:val="nil"/>
              <w:left w:val="nil"/>
              <w:bottom w:val="single" w:sz="8" w:space="0" w:color="auto"/>
              <w:right w:val="single" w:sz="8" w:space="0" w:color="auto"/>
            </w:tcBorders>
            <w:shd w:val="clear" w:color="000000" w:fill="FFFFFF"/>
            <w:noWrap/>
            <w:vAlign w:val="center"/>
            <w:hideMark/>
          </w:tcPr>
          <w:p w14:paraId="36E083F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-98%</w:t>
            </w:r>
          </w:p>
        </w:tc>
      </w:tr>
      <w:tr w:rsidR="00054805" w:rsidRPr="00054805" w14:paraId="7B1564EE" w14:textId="77777777" w:rsidTr="00054805">
        <w:trPr>
          <w:trHeight w:val="315"/>
        </w:trPr>
        <w:tc>
          <w:tcPr>
            <w:tcW w:w="5200" w:type="dxa"/>
            <w:tcBorders>
              <w:top w:val="nil"/>
              <w:left w:val="single" w:sz="8" w:space="0" w:color="auto"/>
              <w:bottom w:val="single" w:sz="8" w:space="0" w:color="auto"/>
              <w:right w:val="single" w:sz="8" w:space="0" w:color="auto"/>
            </w:tcBorders>
            <w:shd w:val="clear" w:color="000000" w:fill="BFBFBF"/>
            <w:noWrap/>
            <w:vAlign w:val="center"/>
            <w:hideMark/>
          </w:tcPr>
          <w:p w14:paraId="173D03F0"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Total</w:t>
            </w:r>
          </w:p>
        </w:tc>
        <w:tc>
          <w:tcPr>
            <w:tcW w:w="1260" w:type="dxa"/>
            <w:tcBorders>
              <w:top w:val="nil"/>
              <w:left w:val="nil"/>
              <w:bottom w:val="single" w:sz="8" w:space="0" w:color="auto"/>
              <w:right w:val="single" w:sz="8" w:space="0" w:color="auto"/>
            </w:tcBorders>
            <w:shd w:val="clear" w:color="000000" w:fill="BFBFBF"/>
            <w:noWrap/>
            <w:vAlign w:val="center"/>
            <w:hideMark/>
          </w:tcPr>
          <w:p w14:paraId="1ACCC20A"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11,674</w:t>
            </w:r>
          </w:p>
        </w:tc>
        <w:tc>
          <w:tcPr>
            <w:tcW w:w="1180" w:type="dxa"/>
            <w:tcBorders>
              <w:top w:val="nil"/>
              <w:left w:val="nil"/>
              <w:bottom w:val="single" w:sz="8" w:space="0" w:color="auto"/>
              <w:right w:val="single" w:sz="8" w:space="0" w:color="auto"/>
            </w:tcBorders>
            <w:shd w:val="clear" w:color="000000" w:fill="BFBFBF"/>
            <w:noWrap/>
            <w:vAlign w:val="center"/>
            <w:hideMark/>
          </w:tcPr>
          <w:p w14:paraId="3C3CC7C9"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5,957</w:t>
            </w:r>
          </w:p>
        </w:tc>
        <w:tc>
          <w:tcPr>
            <w:tcW w:w="1340" w:type="dxa"/>
            <w:tcBorders>
              <w:top w:val="nil"/>
              <w:left w:val="nil"/>
              <w:bottom w:val="single" w:sz="8" w:space="0" w:color="auto"/>
              <w:right w:val="single" w:sz="8" w:space="0" w:color="auto"/>
            </w:tcBorders>
            <w:shd w:val="clear" w:color="000000" w:fill="BFBFBF"/>
            <w:noWrap/>
            <w:vAlign w:val="center"/>
            <w:hideMark/>
          </w:tcPr>
          <w:p w14:paraId="02C92ECF"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-49%</w:t>
            </w:r>
          </w:p>
        </w:tc>
      </w:tr>
    </w:tbl>
    <w:p w14:paraId="05328E1C" w14:textId="6DC82909" w:rsidR="0079726C" w:rsidRDefault="0079726C" w:rsidP="0079726C">
      <w:pPr>
        <w:pStyle w:val="BodyText"/>
        <w:keepLines/>
        <w:topLinePunct/>
        <w:textAlignment w:val="top"/>
        <w:rPr>
          <w:rFonts w:eastAsia="SimSun" w:hAnsi="Arial Regular" w:cs="Arial Regular"/>
        </w:rPr>
      </w:pPr>
      <w:r>
        <w:rPr>
          <w:rFonts w:eastAsia="SimSun" w:hAnsi="Arial Regular" w:cs="Arial Regular"/>
        </w:rPr>
        <w:t>*MOCJ analysis of DOC data. Values may vary slightly from DOC analysis.</w:t>
      </w:r>
    </w:p>
    <w:p w14:paraId="7F827D25" w14:textId="77777777" w:rsidR="0079726C" w:rsidRDefault="0079726C" w:rsidP="0079726C">
      <w:pPr>
        <w:pStyle w:val="BodyText"/>
        <w:keepLines/>
        <w:topLinePunct/>
        <w:textAlignment w:val="top"/>
        <w:rPr>
          <w:rFonts w:eastAsia="SimSun" w:hAnsi="Arial Regular" w:cs="Arial Regular"/>
        </w:rPr>
      </w:pPr>
    </w:p>
    <w:p w14:paraId="4C07DE64" w14:textId="77777777" w:rsidR="0079726C" w:rsidRDefault="0079726C" w:rsidP="0079726C">
      <w:pPr>
        <w:pStyle w:val="BodyText"/>
        <w:keepLines/>
        <w:topLinePunct/>
        <w:textAlignment w:val="top"/>
        <w:rPr>
          <w:rFonts w:eastAsia="SimSun" w:hAnsi="Arial Regular" w:cs="Arial Regular"/>
        </w:rPr>
      </w:pPr>
    </w:p>
    <w:p w14:paraId="64EB762C" w14:textId="2E2F1CB8" w:rsidR="0079726C" w:rsidRDefault="0079726C" w:rsidP="0079726C">
      <w:pPr>
        <w:pStyle w:val="ListParagraph1"/>
        <w:keepLines/>
        <w:tabs>
          <w:tab w:val="left" w:pos="477"/>
          <w:tab w:val="left" w:pos="478"/>
        </w:tabs>
        <w:topLinePunct/>
        <w:ind w:left="0"/>
        <w:textAlignment w:val="top"/>
        <w:rPr>
          <w:rFonts w:eastAsia="SimSun" w:hAnsi="Arial Bold" w:cs="Arial Bold"/>
          <w:b/>
          <w:bCs/>
        </w:rPr>
      </w:pPr>
      <w:r>
        <w:rPr>
          <w:rFonts w:eastAsia="SimSun" w:hAnsi="Arial Bold" w:cs="Arial Bold"/>
          <w:b/>
          <w:bCs/>
        </w:rPr>
        <w:t>b. Average and median length of stay of incarcerated individuals detained pretrial, in total and disaggregated by borough of arrest and whether there is a co-occurring parole</w:t>
      </w:r>
      <w:r>
        <w:rPr>
          <w:rFonts w:eastAsia="SimSun" w:hAnsi="Arial Bold" w:cs="Arial Bold"/>
          <w:b/>
          <w:bCs/>
          <w:spacing w:val="-20"/>
        </w:rPr>
        <w:t xml:space="preserve"> </w:t>
      </w:r>
      <w:r>
        <w:rPr>
          <w:rFonts w:eastAsia="SimSun" w:hAnsi="Arial Bold" w:cs="Arial Bold"/>
          <w:b/>
          <w:bCs/>
        </w:rPr>
        <w:t>violation.</w:t>
      </w:r>
    </w:p>
    <w:tbl>
      <w:tblPr>
        <w:tblW w:w="9000" w:type="dxa"/>
        <w:tblLook w:val="04A0" w:firstRow="1" w:lastRow="0" w:firstColumn="1" w:lastColumn="0" w:noHBand="0" w:noVBand="1"/>
      </w:tblPr>
      <w:tblGrid>
        <w:gridCol w:w="2250"/>
        <w:gridCol w:w="1800"/>
        <w:gridCol w:w="1710"/>
        <w:gridCol w:w="1710"/>
        <w:gridCol w:w="1530"/>
      </w:tblGrid>
      <w:tr w:rsidR="00054805" w:rsidRPr="00054805" w14:paraId="7E6941E6" w14:textId="77777777" w:rsidTr="00054805">
        <w:trPr>
          <w:trHeight w:val="315"/>
        </w:trPr>
        <w:tc>
          <w:tcPr>
            <w:tcW w:w="5760" w:type="dxa"/>
            <w:gridSpan w:val="3"/>
            <w:tcBorders>
              <w:top w:val="nil"/>
              <w:left w:val="nil"/>
              <w:bottom w:val="nil"/>
              <w:right w:val="nil"/>
            </w:tcBorders>
            <w:shd w:val="clear" w:color="auto" w:fill="auto"/>
            <w:noWrap/>
            <w:vAlign w:val="bottom"/>
            <w:hideMark/>
          </w:tcPr>
          <w:p w14:paraId="1A324022" w14:textId="77777777" w:rsidR="00054805" w:rsidRPr="00054805" w:rsidRDefault="00054805" w:rsidP="00054805">
            <w:pPr>
              <w:widowControl/>
              <w:autoSpaceDE/>
              <w:autoSpaceDN/>
              <w:spacing w:after="0" w:line="240" w:lineRule="auto"/>
              <w:rPr>
                <w:rFonts w:eastAsia="Times New Roman"/>
                <w:b/>
                <w:bCs/>
                <w:color w:val="000000"/>
                <w:lang w:bidi="ar-SA"/>
              </w:rPr>
            </w:pPr>
            <w:r w:rsidRPr="00054805">
              <w:rPr>
                <w:rFonts w:eastAsia="Times New Roman"/>
                <w:b/>
                <w:bCs/>
                <w:color w:val="000000"/>
                <w:lang w:bidi="ar-SA"/>
              </w:rPr>
              <w:t>Chart 4. Length of Stay by Borough of Arrest for Pretrial Detainees</w:t>
            </w:r>
          </w:p>
        </w:tc>
        <w:tc>
          <w:tcPr>
            <w:tcW w:w="1710" w:type="dxa"/>
            <w:tcBorders>
              <w:top w:val="nil"/>
              <w:left w:val="nil"/>
              <w:bottom w:val="nil"/>
              <w:right w:val="nil"/>
            </w:tcBorders>
            <w:shd w:val="clear" w:color="auto" w:fill="auto"/>
            <w:noWrap/>
            <w:vAlign w:val="bottom"/>
            <w:hideMark/>
          </w:tcPr>
          <w:p w14:paraId="14D30802" w14:textId="77777777" w:rsidR="00054805" w:rsidRPr="00054805" w:rsidRDefault="00054805" w:rsidP="00054805">
            <w:pPr>
              <w:widowControl/>
              <w:autoSpaceDE/>
              <w:autoSpaceDN/>
              <w:spacing w:after="0" w:line="240" w:lineRule="auto"/>
              <w:rPr>
                <w:rFonts w:eastAsia="Times New Roman"/>
                <w:b/>
                <w:bCs/>
                <w:color w:val="000000"/>
                <w:lang w:bidi="ar-SA"/>
              </w:rPr>
            </w:pPr>
          </w:p>
        </w:tc>
        <w:tc>
          <w:tcPr>
            <w:tcW w:w="1530" w:type="dxa"/>
            <w:tcBorders>
              <w:top w:val="nil"/>
              <w:left w:val="nil"/>
              <w:bottom w:val="nil"/>
              <w:right w:val="nil"/>
            </w:tcBorders>
            <w:shd w:val="clear" w:color="auto" w:fill="auto"/>
            <w:noWrap/>
            <w:vAlign w:val="bottom"/>
            <w:hideMark/>
          </w:tcPr>
          <w:p w14:paraId="7EE6FC48" w14:textId="77777777" w:rsidR="00054805" w:rsidRPr="00054805" w:rsidRDefault="00054805" w:rsidP="00054805">
            <w:pPr>
              <w:widowControl/>
              <w:autoSpaceDE/>
              <w:autoSpaceDN/>
              <w:spacing w:after="0" w:line="240" w:lineRule="auto"/>
              <w:rPr>
                <w:rFonts w:ascii="Times New Roman" w:eastAsia="Times New Roman" w:hAnsi="Times New Roman" w:cs="Times New Roman"/>
                <w:sz w:val="20"/>
                <w:szCs w:val="20"/>
                <w:lang w:bidi="ar-SA"/>
              </w:rPr>
            </w:pPr>
          </w:p>
        </w:tc>
      </w:tr>
      <w:tr w:rsidR="00054805" w:rsidRPr="00054805" w14:paraId="32EC3285" w14:textId="77777777" w:rsidTr="00054805">
        <w:trPr>
          <w:trHeight w:val="315"/>
        </w:trPr>
        <w:tc>
          <w:tcPr>
            <w:tcW w:w="225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27121C8D" w14:textId="77777777" w:rsidR="00054805" w:rsidRPr="00054805" w:rsidRDefault="00054805" w:rsidP="00054805">
            <w:pPr>
              <w:widowControl/>
              <w:autoSpaceDE/>
              <w:autoSpaceDN/>
              <w:spacing w:after="0" w:line="240" w:lineRule="auto"/>
              <w:rPr>
                <w:rFonts w:eastAsia="Times New Roman"/>
                <w:b/>
                <w:bCs/>
                <w:color w:val="000000"/>
                <w:lang w:bidi="ar-SA"/>
              </w:rPr>
            </w:pPr>
            <w:r w:rsidRPr="00054805">
              <w:rPr>
                <w:rFonts w:eastAsia="Times New Roman"/>
                <w:b/>
                <w:bCs/>
                <w:color w:val="000000"/>
                <w:lang w:bidi="ar-SA"/>
              </w:rPr>
              <w:t>Borough</w:t>
            </w:r>
          </w:p>
        </w:tc>
        <w:tc>
          <w:tcPr>
            <w:tcW w:w="3510"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7CDE1AC5"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All Detainees</w:t>
            </w:r>
          </w:p>
        </w:tc>
        <w:tc>
          <w:tcPr>
            <w:tcW w:w="3240"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6FB5F7B1"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Detainees w Parole Violation</w:t>
            </w:r>
          </w:p>
        </w:tc>
      </w:tr>
      <w:tr w:rsidR="00054805" w:rsidRPr="00054805" w14:paraId="7C99CBBF" w14:textId="77777777" w:rsidTr="00054805">
        <w:trPr>
          <w:trHeight w:val="315"/>
        </w:trPr>
        <w:tc>
          <w:tcPr>
            <w:tcW w:w="2250" w:type="dxa"/>
            <w:tcBorders>
              <w:top w:val="nil"/>
              <w:left w:val="single" w:sz="8" w:space="0" w:color="auto"/>
              <w:bottom w:val="single" w:sz="8" w:space="0" w:color="auto"/>
              <w:right w:val="single" w:sz="8" w:space="0" w:color="auto"/>
            </w:tcBorders>
            <w:shd w:val="clear" w:color="000000" w:fill="BFBFBF"/>
            <w:noWrap/>
            <w:vAlign w:val="center"/>
            <w:hideMark/>
          </w:tcPr>
          <w:p w14:paraId="2A5ADD7A"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 </w:t>
            </w:r>
          </w:p>
        </w:tc>
        <w:tc>
          <w:tcPr>
            <w:tcW w:w="1800" w:type="dxa"/>
            <w:tcBorders>
              <w:top w:val="nil"/>
              <w:left w:val="nil"/>
              <w:bottom w:val="single" w:sz="8" w:space="0" w:color="auto"/>
              <w:right w:val="single" w:sz="8" w:space="0" w:color="auto"/>
            </w:tcBorders>
            <w:shd w:val="clear" w:color="000000" w:fill="BFBFBF"/>
            <w:noWrap/>
            <w:vAlign w:val="center"/>
            <w:hideMark/>
          </w:tcPr>
          <w:p w14:paraId="7AEF5DE5"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Average</w:t>
            </w:r>
          </w:p>
        </w:tc>
        <w:tc>
          <w:tcPr>
            <w:tcW w:w="1710" w:type="dxa"/>
            <w:tcBorders>
              <w:top w:val="nil"/>
              <w:left w:val="nil"/>
              <w:bottom w:val="single" w:sz="8" w:space="0" w:color="auto"/>
              <w:right w:val="single" w:sz="8" w:space="0" w:color="auto"/>
            </w:tcBorders>
            <w:shd w:val="clear" w:color="000000" w:fill="BFBFBF"/>
            <w:vAlign w:val="center"/>
            <w:hideMark/>
          </w:tcPr>
          <w:p w14:paraId="4BF20C75"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Median</w:t>
            </w:r>
          </w:p>
        </w:tc>
        <w:tc>
          <w:tcPr>
            <w:tcW w:w="1710" w:type="dxa"/>
            <w:tcBorders>
              <w:top w:val="nil"/>
              <w:left w:val="nil"/>
              <w:bottom w:val="single" w:sz="8" w:space="0" w:color="auto"/>
              <w:right w:val="single" w:sz="8" w:space="0" w:color="auto"/>
            </w:tcBorders>
            <w:shd w:val="clear" w:color="000000" w:fill="BFBFBF"/>
            <w:noWrap/>
            <w:vAlign w:val="center"/>
            <w:hideMark/>
          </w:tcPr>
          <w:p w14:paraId="1FD4BE7F"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Average</w:t>
            </w:r>
          </w:p>
        </w:tc>
        <w:tc>
          <w:tcPr>
            <w:tcW w:w="1530" w:type="dxa"/>
            <w:tcBorders>
              <w:top w:val="nil"/>
              <w:left w:val="nil"/>
              <w:bottom w:val="single" w:sz="8" w:space="0" w:color="auto"/>
              <w:right w:val="single" w:sz="8" w:space="0" w:color="auto"/>
            </w:tcBorders>
            <w:shd w:val="clear" w:color="000000" w:fill="BFBFBF"/>
            <w:vAlign w:val="center"/>
            <w:hideMark/>
          </w:tcPr>
          <w:p w14:paraId="3F9CC762"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Median</w:t>
            </w:r>
          </w:p>
        </w:tc>
      </w:tr>
      <w:tr w:rsidR="00054805" w:rsidRPr="00054805" w14:paraId="62910808" w14:textId="77777777" w:rsidTr="00054805">
        <w:trPr>
          <w:trHeight w:val="315"/>
        </w:trPr>
        <w:tc>
          <w:tcPr>
            <w:tcW w:w="2250" w:type="dxa"/>
            <w:tcBorders>
              <w:top w:val="nil"/>
              <w:left w:val="single" w:sz="8" w:space="0" w:color="auto"/>
              <w:bottom w:val="single" w:sz="8" w:space="0" w:color="auto"/>
              <w:right w:val="single" w:sz="8" w:space="0" w:color="auto"/>
            </w:tcBorders>
            <w:shd w:val="clear" w:color="000000" w:fill="FFFFFF"/>
            <w:noWrap/>
            <w:vAlign w:val="center"/>
            <w:hideMark/>
          </w:tcPr>
          <w:p w14:paraId="332A53BA"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BK</w:t>
            </w:r>
          </w:p>
        </w:tc>
        <w:tc>
          <w:tcPr>
            <w:tcW w:w="1800" w:type="dxa"/>
            <w:tcBorders>
              <w:top w:val="nil"/>
              <w:left w:val="nil"/>
              <w:bottom w:val="single" w:sz="8" w:space="0" w:color="auto"/>
              <w:right w:val="single" w:sz="8" w:space="0" w:color="auto"/>
            </w:tcBorders>
            <w:shd w:val="clear" w:color="000000" w:fill="FFFFFF"/>
            <w:noWrap/>
            <w:vAlign w:val="center"/>
            <w:hideMark/>
          </w:tcPr>
          <w:p w14:paraId="79DACB6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61</w:t>
            </w:r>
          </w:p>
        </w:tc>
        <w:tc>
          <w:tcPr>
            <w:tcW w:w="1710" w:type="dxa"/>
            <w:tcBorders>
              <w:top w:val="nil"/>
              <w:left w:val="nil"/>
              <w:bottom w:val="single" w:sz="8" w:space="0" w:color="auto"/>
              <w:right w:val="single" w:sz="8" w:space="0" w:color="auto"/>
            </w:tcBorders>
            <w:shd w:val="clear" w:color="000000" w:fill="FFFFFF"/>
            <w:noWrap/>
            <w:vAlign w:val="center"/>
            <w:hideMark/>
          </w:tcPr>
          <w:p w14:paraId="59BB1207"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9</w:t>
            </w:r>
          </w:p>
        </w:tc>
        <w:tc>
          <w:tcPr>
            <w:tcW w:w="1710" w:type="dxa"/>
            <w:tcBorders>
              <w:top w:val="nil"/>
              <w:left w:val="nil"/>
              <w:bottom w:val="single" w:sz="8" w:space="0" w:color="auto"/>
              <w:right w:val="single" w:sz="8" w:space="0" w:color="auto"/>
            </w:tcBorders>
            <w:shd w:val="clear" w:color="000000" w:fill="FFFFFF"/>
            <w:noWrap/>
            <w:vAlign w:val="center"/>
            <w:hideMark/>
          </w:tcPr>
          <w:p w14:paraId="78AF7314"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447</w:t>
            </w:r>
          </w:p>
        </w:tc>
        <w:tc>
          <w:tcPr>
            <w:tcW w:w="1530" w:type="dxa"/>
            <w:tcBorders>
              <w:top w:val="nil"/>
              <w:left w:val="nil"/>
              <w:bottom w:val="single" w:sz="8" w:space="0" w:color="auto"/>
              <w:right w:val="single" w:sz="8" w:space="0" w:color="auto"/>
            </w:tcBorders>
            <w:shd w:val="clear" w:color="000000" w:fill="FFFFFF"/>
            <w:noWrap/>
            <w:vAlign w:val="center"/>
            <w:hideMark/>
          </w:tcPr>
          <w:p w14:paraId="7DDEAC9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389</w:t>
            </w:r>
          </w:p>
        </w:tc>
      </w:tr>
      <w:tr w:rsidR="00054805" w:rsidRPr="00054805" w14:paraId="6BC4404A" w14:textId="77777777" w:rsidTr="00054805">
        <w:trPr>
          <w:trHeight w:val="315"/>
        </w:trPr>
        <w:tc>
          <w:tcPr>
            <w:tcW w:w="2250" w:type="dxa"/>
            <w:tcBorders>
              <w:top w:val="nil"/>
              <w:left w:val="single" w:sz="8" w:space="0" w:color="auto"/>
              <w:bottom w:val="single" w:sz="8" w:space="0" w:color="auto"/>
              <w:right w:val="single" w:sz="8" w:space="0" w:color="auto"/>
            </w:tcBorders>
            <w:shd w:val="clear" w:color="000000" w:fill="FFFFFF"/>
            <w:noWrap/>
            <w:vAlign w:val="center"/>
            <w:hideMark/>
          </w:tcPr>
          <w:p w14:paraId="70EE04A1"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BX</w:t>
            </w:r>
          </w:p>
        </w:tc>
        <w:tc>
          <w:tcPr>
            <w:tcW w:w="1800" w:type="dxa"/>
            <w:tcBorders>
              <w:top w:val="nil"/>
              <w:left w:val="nil"/>
              <w:bottom w:val="single" w:sz="8" w:space="0" w:color="auto"/>
              <w:right w:val="single" w:sz="8" w:space="0" w:color="auto"/>
            </w:tcBorders>
            <w:shd w:val="clear" w:color="000000" w:fill="FFFFFF"/>
            <w:noWrap/>
            <w:vAlign w:val="center"/>
            <w:hideMark/>
          </w:tcPr>
          <w:p w14:paraId="763479A3"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74</w:t>
            </w:r>
          </w:p>
        </w:tc>
        <w:tc>
          <w:tcPr>
            <w:tcW w:w="1710" w:type="dxa"/>
            <w:tcBorders>
              <w:top w:val="nil"/>
              <w:left w:val="nil"/>
              <w:bottom w:val="single" w:sz="8" w:space="0" w:color="auto"/>
              <w:right w:val="single" w:sz="8" w:space="0" w:color="auto"/>
            </w:tcBorders>
            <w:shd w:val="clear" w:color="000000" w:fill="FFFFFF"/>
            <w:noWrap/>
            <w:vAlign w:val="center"/>
            <w:hideMark/>
          </w:tcPr>
          <w:p w14:paraId="562B6ACF"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10</w:t>
            </w:r>
          </w:p>
        </w:tc>
        <w:tc>
          <w:tcPr>
            <w:tcW w:w="1710" w:type="dxa"/>
            <w:tcBorders>
              <w:top w:val="nil"/>
              <w:left w:val="nil"/>
              <w:bottom w:val="single" w:sz="8" w:space="0" w:color="auto"/>
              <w:right w:val="single" w:sz="8" w:space="0" w:color="auto"/>
            </w:tcBorders>
            <w:shd w:val="clear" w:color="000000" w:fill="FFFFFF"/>
            <w:noWrap/>
            <w:vAlign w:val="center"/>
            <w:hideMark/>
          </w:tcPr>
          <w:p w14:paraId="5AAD6622"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174</w:t>
            </w:r>
          </w:p>
        </w:tc>
        <w:tc>
          <w:tcPr>
            <w:tcW w:w="1530" w:type="dxa"/>
            <w:tcBorders>
              <w:top w:val="nil"/>
              <w:left w:val="nil"/>
              <w:bottom w:val="single" w:sz="8" w:space="0" w:color="auto"/>
              <w:right w:val="single" w:sz="8" w:space="0" w:color="auto"/>
            </w:tcBorders>
            <w:shd w:val="clear" w:color="000000" w:fill="FFFFFF"/>
            <w:noWrap/>
            <w:vAlign w:val="center"/>
            <w:hideMark/>
          </w:tcPr>
          <w:p w14:paraId="49340583"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182</w:t>
            </w:r>
          </w:p>
        </w:tc>
      </w:tr>
      <w:tr w:rsidR="00054805" w:rsidRPr="00054805" w14:paraId="2A1C45F8" w14:textId="77777777" w:rsidTr="00054805">
        <w:trPr>
          <w:trHeight w:val="315"/>
        </w:trPr>
        <w:tc>
          <w:tcPr>
            <w:tcW w:w="2250" w:type="dxa"/>
            <w:tcBorders>
              <w:top w:val="nil"/>
              <w:left w:val="single" w:sz="8" w:space="0" w:color="auto"/>
              <w:bottom w:val="single" w:sz="8" w:space="0" w:color="auto"/>
              <w:right w:val="single" w:sz="8" w:space="0" w:color="auto"/>
            </w:tcBorders>
            <w:shd w:val="clear" w:color="000000" w:fill="FFFFFF"/>
            <w:noWrap/>
            <w:vAlign w:val="center"/>
            <w:hideMark/>
          </w:tcPr>
          <w:p w14:paraId="62E33E95"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MN</w:t>
            </w:r>
          </w:p>
        </w:tc>
        <w:tc>
          <w:tcPr>
            <w:tcW w:w="1800" w:type="dxa"/>
            <w:tcBorders>
              <w:top w:val="nil"/>
              <w:left w:val="nil"/>
              <w:bottom w:val="single" w:sz="8" w:space="0" w:color="auto"/>
              <w:right w:val="single" w:sz="8" w:space="0" w:color="auto"/>
            </w:tcBorders>
            <w:shd w:val="clear" w:color="000000" w:fill="FFFFFF"/>
            <w:noWrap/>
            <w:vAlign w:val="center"/>
            <w:hideMark/>
          </w:tcPr>
          <w:p w14:paraId="42E4C2F4"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84</w:t>
            </w:r>
          </w:p>
        </w:tc>
        <w:tc>
          <w:tcPr>
            <w:tcW w:w="1710" w:type="dxa"/>
            <w:tcBorders>
              <w:top w:val="nil"/>
              <w:left w:val="nil"/>
              <w:bottom w:val="single" w:sz="8" w:space="0" w:color="auto"/>
              <w:right w:val="single" w:sz="8" w:space="0" w:color="auto"/>
            </w:tcBorders>
            <w:shd w:val="clear" w:color="000000" w:fill="FFFFFF"/>
            <w:noWrap/>
            <w:vAlign w:val="center"/>
            <w:hideMark/>
          </w:tcPr>
          <w:p w14:paraId="5D17E8E6"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18</w:t>
            </w:r>
          </w:p>
        </w:tc>
        <w:tc>
          <w:tcPr>
            <w:tcW w:w="1710" w:type="dxa"/>
            <w:tcBorders>
              <w:top w:val="nil"/>
              <w:left w:val="nil"/>
              <w:bottom w:val="single" w:sz="8" w:space="0" w:color="auto"/>
              <w:right w:val="single" w:sz="8" w:space="0" w:color="auto"/>
            </w:tcBorders>
            <w:shd w:val="clear" w:color="000000" w:fill="FFFFFF"/>
            <w:noWrap/>
            <w:vAlign w:val="center"/>
            <w:hideMark/>
          </w:tcPr>
          <w:p w14:paraId="794EACB9"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270</w:t>
            </w:r>
          </w:p>
        </w:tc>
        <w:tc>
          <w:tcPr>
            <w:tcW w:w="1530" w:type="dxa"/>
            <w:tcBorders>
              <w:top w:val="nil"/>
              <w:left w:val="nil"/>
              <w:bottom w:val="single" w:sz="8" w:space="0" w:color="auto"/>
              <w:right w:val="single" w:sz="8" w:space="0" w:color="auto"/>
            </w:tcBorders>
            <w:shd w:val="clear" w:color="000000" w:fill="FFFFFF"/>
            <w:noWrap/>
            <w:vAlign w:val="center"/>
            <w:hideMark/>
          </w:tcPr>
          <w:p w14:paraId="5A4527FF"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194</w:t>
            </w:r>
          </w:p>
        </w:tc>
      </w:tr>
      <w:tr w:rsidR="00054805" w:rsidRPr="00054805" w14:paraId="26A30CC9" w14:textId="77777777" w:rsidTr="00054805">
        <w:trPr>
          <w:trHeight w:val="315"/>
        </w:trPr>
        <w:tc>
          <w:tcPr>
            <w:tcW w:w="2250" w:type="dxa"/>
            <w:tcBorders>
              <w:top w:val="nil"/>
              <w:left w:val="single" w:sz="8" w:space="0" w:color="auto"/>
              <w:bottom w:val="single" w:sz="8" w:space="0" w:color="auto"/>
              <w:right w:val="single" w:sz="8" w:space="0" w:color="auto"/>
            </w:tcBorders>
            <w:shd w:val="clear" w:color="000000" w:fill="FFFFFF"/>
            <w:noWrap/>
            <w:vAlign w:val="center"/>
            <w:hideMark/>
          </w:tcPr>
          <w:p w14:paraId="19B4F6E4"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QN</w:t>
            </w:r>
          </w:p>
        </w:tc>
        <w:tc>
          <w:tcPr>
            <w:tcW w:w="1800" w:type="dxa"/>
            <w:tcBorders>
              <w:top w:val="nil"/>
              <w:left w:val="nil"/>
              <w:bottom w:val="single" w:sz="8" w:space="0" w:color="auto"/>
              <w:right w:val="single" w:sz="8" w:space="0" w:color="auto"/>
            </w:tcBorders>
            <w:shd w:val="clear" w:color="000000" w:fill="FFFFFF"/>
            <w:noWrap/>
            <w:vAlign w:val="center"/>
            <w:hideMark/>
          </w:tcPr>
          <w:p w14:paraId="4E703A5B"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55</w:t>
            </w:r>
          </w:p>
        </w:tc>
        <w:tc>
          <w:tcPr>
            <w:tcW w:w="1710" w:type="dxa"/>
            <w:tcBorders>
              <w:top w:val="nil"/>
              <w:left w:val="nil"/>
              <w:bottom w:val="single" w:sz="8" w:space="0" w:color="auto"/>
              <w:right w:val="single" w:sz="8" w:space="0" w:color="auto"/>
            </w:tcBorders>
            <w:shd w:val="clear" w:color="000000" w:fill="FFFFFF"/>
            <w:noWrap/>
            <w:vAlign w:val="center"/>
            <w:hideMark/>
          </w:tcPr>
          <w:p w14:paraId="427B915F"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9</w:t>
            </w:r>
          </w:p>
        </w:tc>
        <w:tc>
          <w:tcPr>
            <w:tcW w:w="1710" w:type="dxa"/>
            <w:tcBorders>
              <w:top w:val="nil"/>
              <w:left w:val="nil"/>
              <w:bottom w:val="single" w:sz="8" w:space="0" w:color="auto"/>
              <w:right w:val="single" w:sz="8" w:space="0" w:color="auto"/>
            </w:tcBorders>
            <w:shd w:val="clear" w:color="000000" w:fill="FFFFFF"/>
            <w:noWrap/>
            <w:vAlign w:val="center"/>
            <w:hideMark/>
          </w:tcPr>
          <w:p w14:paraId="1984BAF6"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226</w:t>
            </w:r>
          </w:p>
        </w:tc>
        <w:tc>
          <w:tcPr>
            <w:tcW w:w="1530" w:type="dxa"/>
            <w:tcBorders>
              <w:top w:val="nil"/>
              <w:left w:val="nil"/>
              <w:bottom w:val="single" w:sz="8" w:space="0" w:color="auto"/>
              <w:right w:val="single" w:sz="8" w:space="0" w:color="auto"/>
            </w:tcBorders>
            <w:shd w:val="clear" w:color="000000" w:fill="FFFFFF"/>
            <w:noWrap/>
            <w:vAlign w:val="center"/>
            <w:hideMark/>
          </w:tcPr>
          <w:p w14:paraId="140533DB"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135</w:t>
            </w:r>
          </w:p>
        </w:tc>
      </w:tr>
      <w:tr w:rsidR="00054805" w:rsidRPr="00054805" w14:paraId="2A757EF8" w14:textId="77777777" w:rsidTr="00054805">
        <w:trPr>
          <w:trHeight w:val="315"/>
        </w:trPr>
        <w:tc>
          <w:tcPr>
            <w:tcW w:w="2250" w:type="dxa"/>
            <w:tcBorders>
              <w:top w:val="nil"/>
              <w:left w:val="single" w:sz="8" w:space="0" w:color="auto"/>
              <w:bottom w:val="single" w:sz="8" w:space="0" w:color="auto"/>
              <w:right w:val="single" w:sz="8" w:space="0" w:color="auto"/>
            </w:tcBorders>
            <w:shd w:val="clear" w:color="000000" w:fill="FFFFFF"/>
            <w:noWrap/>
            <w:vAlign w:val="center"/>
            <w:hideMark/>
          </w:tcPr>
          <w:p w14:paraId="582E45A6"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SI</w:t>
            </w:r>
          </w:p>
        </w:tc>
        <w:tc>
          <w:tcPr>
            <w:tcW w:w="1800" w:type="dxa"/>
            <w:tcBorders>
              <w:top w:val="nil"/>
              <w:left w:val="nil"/>
              <w:bottom w:val="single" w:sz="8" w:space="0" w:color="auto"/>
              <w:right w:val="single" w:sz="8" w:space="0" w:color="auto"/>
            </w:tcBorders>
            <w:shd w:val="clear" w:color="000000" w:fill="FFFFFF"/>
            <w:noWrap/>
            <w:vAlign w:val="center"/>
            <w:hideMark/>
          </w:tcPr>
          <w:p w14:paraId="0232C7DA"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67</w:t>
            </w:r>
          </w:p>
        </w:tc>
        <w:tc>
          <w:tcPr>
            <w:tcW w:w="1710" w:type="dxa"/>
            <w:tcBorders>
              <w:top w:val="nil"/>
              <w:left w:val="nil"/>
              <w:bottom w:val="single" w:sz="8" w:space="0" w:color="auto"/>
              <w:right w:val="single" w:sz="8" w:space="0" w:color="auto"/>
            </w:tcBorders>
            <w:shd w:val="clear" w:color="000000" w:fill="FFFFFF"/>
            <w:noWrap/>
            <w:vAlign w:val="center"/>
            <w:hideMark/>
          </w:tcPr>
          <w:p w14:paraId="7129A1C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14</w:t>
            </w:r>
          </w:p>
        </w:tc>
        <w:tc>
          <w:tcPr>
            <w:tcW w:w="1710" w:type="dxa"/>
            <w:tcBorders>
              <w:top w:val="nil"/>
              <w:left w:val="nil"/>
              <w:bottom w:val="single" w:sz="8" w:space="0" w:color="auto"/>
              <w:right w:val="single" w:sz="8" w:space="0" w:color="auto"/>
            </w:tcBorders>
            <w:shd w:val="clear" w:color="000000" w:fill="FFFFFF"/>
            <w:noWrap/>
            <w:vAlign w:val="center"/>
            <w:hideMark/>
          </w:tcPr>
          <w:p w14:paraId="65312ABC"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255</w:t>
            </w:r>
          </w:p>
        </w:tc>
        <w:tc>
          <w:tcPr>
            <w:tcW w:w="1530" w:type="dxa"/>
            <w:tcBorders>
              <w:top w:val="nil"/>
              <w:left w:val="nil"/>
              <w:bottom w:val="single" w:sz="8" w:space="0" w:color="auto"/>
              <w:right w:val="single" w:sz="8" w:space="0" w:color="auto"/>
            </w:tcBorders>
            <w:shd w:val="clear" w:color="000000" w:fill="FFFFFF"/>
            <w:noWrap/>
            <w:vAlign w:val="center"/>
            <w:hideMark/>
          </w:tcPr>
          <w:p w14:paraId="2A416968"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242</w:t>
            </w:r>
          </w:p>
        </w:tc>
      </w:tr>
      <w:tr w:rsidR="00054805" w:rsidRPr="00054805" w14:paraId="40843907" w14:textId="77777777" w:rsidTr="00054805">
        <w:trPr>
          <w:trHeight w:val="315"/>
        </w:trPr>
        <w:tc>
          <w:tcPr>
            <w:tcW w:w="2250" w:type="dxa"/>
            <w:tcBorders>
              <w:top w:val="nil"/>
              <w:left w:val="single" w:sz="8" w:space="0" w:color="auto"/>
              <w:bottom w:val="single" w:sz="8" w:space="0" w:color="auto"/>
              <w:right w:val="single" w:sz="8" w:space="0" w:color="auto"/>
            </w:tcBorders>
            <w:shd w:val="clear" w:color="000000" w:fill="FFFFFF"/>
            <w:noWrap/>
            <w:vAlign w:val="center"/>
            <w:hideMark/>
          </w:tcPr>
          <w:p w14:paraId="7894AECE"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Unidentified</w:t>
            </w:r>
          </w:p>
        </w:tc>
        <w:tc>
          <w:tcPr>
            <w:tcW w:w="1800" w:type="dxa"/>
            <w:tcBorders>
              <w:top w:val="nil"/>
              <w:left w:val="nil"/>
              <w:bottom w:val="single" w:sz="8" w:space="0" w:color="auto"/>
              <w:right w:val="single" w:sz="8" w:space="0" w:color="auto"/>
            </w:tcBorders>
            <w:shd w:val="clear" w:color="000000" w:fill="FFFFFF"/>
            <w:noWrap/>
            <w:vAlign w:val="center"/>
            <w:hideMark/>
          </w:tcPr>
          <w:p w14:paraId="7B03164F"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73</w:t>
            </w:r>
          </w:p>
        </w:tc>
        <w:tc>
          <w:tcPr>
            <w:tcW w:w="1710" w:type="dxa"/>
            <w:tcBorders>
              <w:top w:val="nil"/>
              <w:left w:val="nil"/>
              <w:bottom w:val="single" w:sz="8" w:space="0" w:color="auto"/>
              <w:right w:val="single" w:sz="8" w:space="0" w:color="auto"/>
            </w:tcBorders>
            <w:shd w:val="clear" w:color="000000" w:fill="FFFFFF"/>
            <w:noWrap/>
            <w:vAlign w:val="center"/>
            <w:hideMark/>
          </w:tcPr>
          <w:p w14:paraId="407BD01B"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11</w:t>
            </w:r>
          </w:p>
        </w:tc>
        <w:tc>
          <w:tcPr>
            <w:tcW w:w="1710" w:type="dxa"/>
            <w:tcBorders>
              <w:top w:val="nil"/>
              <w:left w:val="nil"/>
              <w:bottom w:val="single" w:sz="8" w:space="0" w:color="auto"/>
              <w:right w:val="single" w:sz="8" w:space="0" w:color="auto"/>
            </w:tcBorders>
            <w:shd w:val="clear" w:color="000000" w:fill="FFFFFF"/>
            <w:noWrap/>
            <w:vAlign w:val="center"/>
            <w:hideMark/>
          </w:tcPr>
          <w:p w14:paraId="68EB7BF0"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110</w:t>
            </w:r>
          </w:p>
        </w:tc>
        <w:tc>
          <w:tcPr>
            <w:tcW w:w="1530" w:type="dxa"/>
            <w:tcBorders>
              <w:top w:val="nil"/>
              <w:left w:val="nil"/>
              <w:bottom w:val="single" w:sz="8" w:space="0" w:color="auto"/>
              <w:right w:val="single" w:sz="8" w:space="0" w:color="auto"/>
            </w:tcBorders>
            <w:shd w:val="clear" w:color="000000" w:fill="FFFFFF"/>
            <w:noWrap/>
            <w:vAlign w:val="center"/>
            <w:hideMark/>
          </w:tcPr>
          <w:p w14:paraId="2CFEA81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118</w:t>
            </w:r>
          </w:p>
        </w:tc>
      </w:tr>
      <w:tr w:rsidR="00054805" w:rsidRPr="00054805" w14:paraId="149538D8" w14:textId="77777777" w:rsidTr="00054805">
        <w:trPr>
          <w:trHeight w:val="315"/>
        </w:trPr>
        <w:tc>
          <w:tcPr>
            <w:tcW w:w="2250" w:type="dxa"/>
            <w:tcBorders>
              <w:top w:val="nil"/>
              <w:left w:val="single" w:sz="8" w:space="0" w:color="auto"/>
              <w:bottom w:val="single" w:sz="8" w:space="0" w:color="auto"/>
              <w:right w:val="single" w:sz="8" w:space="0" w:color="auto"/>
            </w:tcBorders>
            <w:shd w:val="clear" w:color="000000" w:fill="BFBFBF"/>
            <w:noWrap/>
            <w:vAlign w:val="center"/>
            <w:hideMark/>
          </w:tcPr>
          <w:p w14:paraId="2B8C88E0"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Citywide</w:t>
            </w:r>
          </w:p>
        </w:tc>
        <w:tc>
          <w:tcPr>
            <w:tcW w:w="1800" w:type="dxa"/>
            <w:tcBorders>
              <w:top w:val="nil"/>
              <w:left w:val="nil"/>
              <w:bottom w:val="single" w:sz="8" w:space="0" w:color="auto"/>
              <w:right w:val="single" w:sz="8" w:space="0" w:color="auto"/>
            </w:tcBorders>
            <w:shd w:val="clear" w:color="000000" w:fill="BFBFBF"/>
            <w:noWrap/>
            <w:vAlign w:val="center"/>
            <w:hideMark/>
          </w:tcPr>
          <w:p w14:paraId="496BD037"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69</w:t>
            </w:r>
          </w:p>
        </w:tc>
        <w:tc>
          <w:tcPr>
            <w:tcW w:w="1710" w:type="dxa"/>
            <w:tcBorders>
              <w:top w:val="nil"/>
              <w:left w:val="nil"/>
              <w:bottom w:val="single" w:sz="8" w:space="0" w:color="auto"/>
              <w:right w:val="single" w:sz="8" w:space="0" w:color="auto"/>
            </w:tcBorders>
            <w:shd w:val="clear" w:color="000000" w:fill="BFBFBF"/>
            <w:noWrap/>
            <w:vAlign w:val="center"/>
            <w:hideMark/>
          </w:tcPr>
          <w:p w14:paraId="481FBBD3"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11</w:t>
            </w:r>
          </w:p>
        </w:tc>
        <w:tc>
          <w:tcPr>
            <w:tcW w:w="1710" w:type="dxa"/>
            <w:tcBorders>
              <w:top w:val="nil"/>
              <w:left w:val="nil"/>
              <w:bottom w:val="single" w:sz="8" w:space="0" w:color="auto"/>
              <w:right w:val="single" w:sz="8" w:space="0" w:color="auto"/>
            </w:tcBorders>
            <w:shd w:val="clear" w:color="000000" w:fill="BFBFBF"/>
            <w:noWrap/>
            <w:vAlign w:val="center"/>
            <w:hideMark/>
          </w:tcPr>
          <w:p w14:paraId="0475726F"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259</w:t>
            </w:r>
          </w:p>
        </w:tc>
        <w:tc>
          <w:tcPr>
            <w:tcW w:w="1530" w:type="dxa"/>
            <w:tcBorders>
              <w:top w:val="nil"/>
              <w:left w:val="nil"/>
              <w:bottom w:val="single" w:sz="8" w:space="0" w:color="auto"/>
              <w:right w:val="single" w:sz="8" w:space="0" w:color="auto"/>
            </w:tcBorders>
            <w:shd w:val="clear" w:color="000000" w:fill="BFBFBF"/>
            <w:noWrap/>
            <w:vAlign w:val="center"/>
            <w:hideMark/>
          </w:tcPr>
          <w:p w14:paraId="28B3CB91"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182</w:t>
            </w:r>
          </w:p>
        </w:tc>
      </w:tr>
    </w:tbl>
    <w:p w14:paraId="618D9F2B" w14:textId="7437033E" w:rsidR="0079726C" w:rsidRDefault="0079726C" w:rsidP="0079726C">
      <w:pPr>
        <w:pStyle w:val="BodyText"/>
        <w:keepLines/>
        <w:topLinePunct/>
        <w:textAlignment w:val="top"/>
        <w:rPr>
          <w:rFonts w:eastAsia="SimSun" w:hAnsi="Arial Regular" w:cs="Arial Regular"/>
        </w:rPr>
      </w:pPr>
      <w:r>
        <w:rPr>
          <w:rFonts w:eastAsia="SimSun" w:hAnsi="Arial Regular" w:cs="Arial Regular"/>
        </w:rPr>
        <w:t>*MOCJ analysis of DOC data. Values may vary slightly from DOC analysis.</w:t>
      </w:r>
    </w:p>
    <w:p w14:paraId="4BFDB11F" w14:textId="77777777" w:rsidR="000811E4" w:rsidRDefault="000811E4" w:rsidP="0079726C">
      <w:pPr>
        <w:pStyle w:val="BodyText"/>
        <w:keepLines/>
        <w:topLinePunct/>
        <w:textAlignment w:val="top"/>
        <w:rPr>
          <w:rFonts w:eastAsia="SimSun" w:hAnsi="Arial Regular" w:cs="Arial Regular"/>
        </w:rPr>
      </w:pPr>
    </w:p>
    <w:p w14:paraId="11200EFD" w14:textId="77777777" w:rsidR="0079726C" w:rsidRDefault="0079726C" w:rsidP="0079726C">
      <w:pPr>
        <w:pStyle w:val="ListParagraph1"/>
        <w:keepLines/>
        <w:tabs>
          <w:tab w:val="left" w:pos="1221"/>
          <w:tab w:val="left" w:pos="1222"/>
        </w:tabs>
        <w:topLinePunct/>
        <w:ind w:left="0"/>
        <w:textAlignment w:val="top"/>
        <w:rPr>
          <w:rFonts w:eastAsia="SimSun" w:hAnsi="Arial Bold" w:cs="Arial Bold"/>
          <w:b/>
          <w:bCs/>
        </w:rPr>
      </w:pPr>
      <w:r>
        <w:rPr>
          <w:rFonts w:eastAsia="SimSun" w:hAnsi="Arial Bold" w:cs="Arial Bold"/>
          <w:b/>
          <w:bCs/>
        </w:rPr>
        <w:t>c. The number and percentage of pretrial detainees whose length of stay is longer than 30 days, 90 days, six months, and one</w:t>
      </w:r>
      <w:r>
        <w:rPr>
          <w:rFonts w:eastAsia="SimSun" w:hAnsi="Arial Bold" w:cs="Arial Bold"/>
          <w:b/>
          <w:bCs/>
          <w:spacing w:val="-10"/>
        </w:rPr>
        <w:t xml:space="preserve"> </w:t>
      </w:r>
      <w:r>
        <w:rPr>
          <w:rFonts w:eastAsia="SimSun" w:hAnsi="Arial Bold" w:cs="Arial Bold"/>
          <w:b/>
          <w:bCs/>
        </w:rPr>
        <w:t>year.</w:t>
      </w:r>
    </w:p>
    <w:tbl>
      <w:tblPr>
        <w:tblW w:w="9000" w:type="dxa"/>
        <w:tblLook w:val="04A0" w:firstRow="1" w:lastRow="0" w:firstColumn="1" w:lastColumn="0" w:noHBand="0" w:noVBand="1"/>
      </w:tblPr>
      <w:tblGrid>
        <w:gridCol w:w="5220"/>
        <w:gridCol w:w="1800"/>
        <w:gridCol w:w="1980"/>
      </w:tblGrid>
      <w:tr w:rsidR="00054805" w:rsidRPr="00054805" w14:paraId="045D9FC3" w14:textId="77777777" w:rsidTr="00054805">
        <w:trPr>
          <w:trHeight w:val="315"/>
        </w:trPr>
        <w:tc>
          <w:tcPr>
            <w:tcW w:w="9000" w:type="dxa"/>
            <w:gridSpan w:val="3"/>
            <w:tcBorders>
              <w:top w:val="nil"/>
              <w:left w:val="nil"/>
              <w:bottom w:val="nil"/>
              <w:right w:val="nil"/>
            </w:tcBorders>
            <w:shd w:val="clear" w:color="auto" w:fill="auto"/>
            <w:noWrap/>
            <w:vAlign w:val="bottom"/>
            <w:hideMark/>
          </w:tcPr>
          <w:p w14:paraId="4CAF83BC" w14:textId="6F9E173A" w:rsidR="00054805" w:rsidRPr="00054805" w:rsidRDefault="00054805" w:rsidP="00054805">
            <w:pPr>
              <w:widowControl/>
              <w:autoSpaceDE/>
              <w:autoSpaceDN/>
              <w:spacing w:after="0" w:line="240" w:lineRule="auto"/>
              <w:rPr>
                <w:rFonts w:eastAsia="Times New Roman"/>
                <w:b/>
                <w:bCs/>
                <w:color w:val="000000"/>
                <w:lang w:bidi="ar-SA"/>
              </w:rPr>
            </w:pPr>
            <w:r w:rsidRPr="00054805">
              <w:rPr>
                <w:rFonts w:eastAsia="Times New Roman"/>
                <w:b/>
                <w:bCs/>
                <w:color w:val="000000"/>
                <w:lang w:bidi="ar-SA"/>
              </w:rPr>
              <w:t>Chart 5. Number and Percent of Pretrial Detainees by Length of Stay over 30</w:t>
            </w:r>
            <w:r>
              <w:rPr>
                <w:rFonts w:eastAsia="Times New Roman"/>
                <w:b/>
                <w:bCs/>
                <w:color w:val="000000"/>
                <w:lang w:bidi="ar-SA"/>
              </w:rPr>
              <w:t xml:space="preserve"> </w:t>
            </w:r>
            <w:r w:rsidRPr="00054805">
              <w:rPr>
                <w:rFonts w:eastAsia="Times New Roman"/>
                <w:b/>
                <w:bCs/>
                <w:color w:val="000000"/>
                <w:lang w:bidi="ar-SA"/>
              </w:rPr>
              <w:t>Days</w:t>
            </w:r>
          </w:p>
        </w:tc>
      </w:tr>
      <w:tr w:rsidR="00054805" w:rsidRPr="00054805" w14:paraId="40D81F30" w14:textId="77777777" w:rsidTr="00054805">
        <w:trPr>
          <w:trHeight w:val="315"/>
        </w:trPr>
        <w:tc>
          <w:tcPr>
            <w:tcW w:w="522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6C6B4DD" w14:textId="77777777" w:rsidR="00054805" w:rsidRPr="00054805" w:rsidRDefault="00054805" w:rsidP="00054805">
            <w:pPr>
              <w:widowControl/>
              <w:autoSpaceDE/>
              <w:autoSpaceDN/>
              <w:spacing w:after="0" w:line="240" w:lineRule="auto"/>
              <w:rPr>
                <w:rFonts w:eastAsia="Times New Roman"/>
                <w:b/>
                <w:bCs/>
                <w:color w:val="000000"/>
                <w:lang w:bidi="ar-SA"/>
              </w:rPr>
            </w:pPr>
            <w:r w:rsidRPr="00054805">
              <w:rPr>
                <w:rFonts w:eastAsia="Times New Roman"/>
                <w:b/>
                <w:bCs/>
                <w:color w:val="000000"/>
                <w:lang w:bidi="ar-SA"/>
              </w:rPr>
              <w:t>Length of Stay</w:t>
            </w:r>
          </w:p>
        </w:tc>
        <w:tc>
          <w:tcPr>
            <w:tcW w:w="1800" w:type="dxa"/>
            <w:tcBorders>
              <w:top w:val="single" w:sz="8" w:space="0" w:color="auto"/>
              <w:left w:val="nil"/>
              <w:bottom w:val="single" w:sz="8" w:space="0" w:color="auto"/>
              <w:right w:val="single" w:sz="8" w:space="0" w:color="auto"/>
            </w:tcBorders>
            <w:shd w:val="clear" w:color="000000" w:fill="BFBFBF"/>
            <w:vAlign w:val="center"/>
            <w:hideMark/>
          </w:tcPr>
          <w:p w14:paraId="60153E87"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Individuals</w:t>
            </w:r>
          </w:p>
        </w:tc>
        <w:tc>
          <w:tcPr>
            <w:tcW w:w="1980" w:type="dxa"/>
            <w:tcBorders>
              <w:top w:val="single" w:sz="8" w:space="0" w:color="auto"/>
              <w:left w:val="nil"/>
              <w:bottom w:val="single" w:sz="8" w:space="0" w:color="auto"/>
              <w:right w:val="single" w:sz="8" w:space="0" w:color="auto"/>
            </w:tcBorders>
            <w:shd w:val="clear" w:color="000000" w:fill="BFBFBF"/>
            <w:noWrap/>
            <w:vAlign w:val="center"/>
            <w:hideMark/>
          </w:tcPr>
          <w:p w14:paraId="2A0C9C62"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 xml:space="preserve">Percent </w:t>
            </w:r>
          </w:p>
        </w:tc>
      </w:tr>
      <w:tr w:rsidR="00054805" w:rsidRPr="00054805" w14:paraId="5C5E8A5C" w14:textId="77777777" w:rsidTr="00054805">
        <w:trPr>
          <w:trHeight w:val="315"/>
        </w:trPr>
        <w:tc>
          <w:tcPr>
            <w:tcW w:w="5220" w:type="dxa"/>
            <w:tcBorders>
              <w:top w:val="nil"/>
              <w:left w:val="single" w:sz="8" w:space="0" w:color="auto"/>
              <w:bottom w:val="single" w:sz="8" w:space="0" w:color="auto"/>
              <w:right w:val="single" w:sz="8" w:space="0" w:color="auto"/>
            </w:tcBorders>
            <w:shd w:val="clear" w:color="000000" w:fill="FFFFFF"/>
            <w:noWrap/>
            <w:vAlign w:val="center"/>
            <w:hideMark/>
          </w:tcPr>
          <w:p w14:paraId="3E314822"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31-90</w:t>
            </w:r>
          </w:p>
        </w:tc>
        <w:tc>
          <w:tcPr>
            <w:tcW w:w="1800" w:type="dxa"/>
            <w:tcBorders>
              <w:top w:val="nil"/>
              <w:left w:val="nil"/>
              <w:bottom w:val="single" w:sz="8" w:space="0" w:color="auto"/>
              <w:right w:val="single" w:sz="8" w:space="0" w:color="auto"/>
            </w:tcBorders>
            <w:shd w:val="clear" w:color="000000" w:fill="FFFFFF"/>
            <w:vAlign w:val="center"/>
            <w:hideMark/>
          </w:tcPr>
          <w:p w14:paraId="03A91613"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1,233</w:t>
            </w:r>
          </w:p>
        </w:tc>
        <w:tc>
          <w:tcPr>
            <w:tcW w:w="1980" w:type="dxa"/>
            <w:tcBorders>
              <w:top w:val="nil"/>
              <w:left w:val="nil"/>
              <w:bottom w:val="single" w:sz="8" w:space="0" w:color="auto"/>
              <w:right w:val="single" w:sz="8" w:space="0" w:color="auto"/>
            </w:tcBorders>
            <w:shd w:val="clear" w:color="000000" w:fill="FFFFFF"/>
            <w:vAlign w:val="center"/>
            <w:hideMark/>
          </w:tcPr>
          <w:p w14:paraId="08C08297"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13%</w:t>
            </w:r>
          </w:p>
        </w:tc>
      </w:tr>
      <w:tr w:rsidR="00054805" w:rsidRPr="00054805" w14:paraId="229E1E8A" w14:textId="77777777" w:rsidTr="00054805">
        <w:trPr>
          <w:trHeight w:val="315"/>
        </w:trPr>
        <w:tc>
          <w:tcPr>
            <w:tcW w:w="5220" w:type="dxa"/>
            <w:tcBorders>
              <w:top w:val="nil"/>
              <w:left w:val="single" w:sz="8" w:space="0" w:color="auto"/>
              <w:bottom w:val="single" w:sz="8" w:space="0" w:color="auto"/>
              <w:right w:val="single" w:sz="8" w:space="0" w:color="auto"/>
            </w:tcBorders>
            <w:shd w:val="clear" w:color="000000" w:fill="FFFFFF"/>
            <w:noWrap/>
            <w:vAlign w:val="center"/>
            <w:hideMark/>
          </w:tcPr>
          <w:p w14:paraId="31EECB68"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91-180</w:t>
            </w:r>
          </w:p>
        </w:tc>
        <w:tc>
          <w:tcPr>
            <w:tcW w:w="1800" w:type="dxa"/>
            <w:tcBorders>
              <w:top w:val="nil"/>
              <w:left w:val="nil"/>
              <w:bottom w:val="single" w:sz="8" w:space="0" w:color="auto"/>
              <w:right w:val="single" w:sz="8" w:space="0" w:color="auto"/>
            </w:tcBorders>
            <w:shd w:val="clear" w:color="000000" w:fill="FFFFFF"/>
            <w:vAlign w:val="center"/>
            <w:hideMark/>
          </w:tcPr>
          <w:p w14:paraId="30FE2269"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946</w:t>
            </w:r>
          </w:p>
        </w:tc>
        <w:tc>
          <w:tcPr>
            <w:tcW w:w="1980" w:type="dxa"/>
            <w:tcBorders>
              <w:top w:val="nil"/>
              <w:left w:val="nil"/>
              <w:bottom w:val="single" w:sz="8" w:space="0" w:color="auto"/>
              <w:right w:val="single" w:sz="8" w:space="0" w:color="auto"/>
            </w:tcBorders>
            <w:shd w:val="clear" w:color="000000" w:fill="FFFFFF"/>
            <w:vAlign w:val="center"/>
            <w:hideMark/>
          </w:tcPr>
          <w:p w14:paraId="207AD084"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10%</w:t>
            </w:r>
          </w:p>
        </w:tc>
      </w:tr>
      <w:tr w:rsidR="00054805" w:rsidRPr="00054805" w14:paraId="08EB6C9A" w14:textId="77777777" w:rsidTr="00054805">
        <w:trPr>
          <w:trHeight w:val="315"/>
        </w:trPr>
        <w:tc>
          <w:tcPr>
            <w:tcW w:w="5220" w:type="dxa"/>
            <w:tcBorders>
              <w:top w:val="nil"/>
              <w:left w:val="single" w:sz="8" w:space="0" w:color="auto"/>
              <w:bottom w:val="single" w:sz="8" w:space="0" w:color="auto"/>
              <w:right w:val="single" w:sz="8" w:space="0" w:color="auto"/>
            </w:tcBorders>
            <w:shd w:val="clear" w:color="000000" w:fill="FFFFFF"/>
            <w:noWrap/>
            <w:vAlign w:val="center"/>
            <w:hideMark/>
          </w:tcPr>
          <w:p w14:paraId="27064BA8"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6 Months - 1 Year</w:t>
            </w:r>
          </w:p>
        </w:tc>
        <w:tc>
          <w:tcPr>
            <w:tcW w:w="1800" w:type="dxa"/>
            <w:tcBorders>
              <w:top w:val="nil"/>
              <w:left w:val="nil"/>
              <w:bottom w:val="single" w:sz="8" w:space="0" w:color="auto"/>
              <w:right w:val="single" w:sz="8" w:space="0" w:color="auto"/>
            </w:tcBorders>
            <w:shd w:val="clear" w:color="000000" w:fill="FFFFFF"/>
            <w:vAlign w:val="center"/>
            <w:hideMark/>
          </w:tcPr>
          <w:p w14:paraId="3791365C"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814</w:t>
            </w:r>
          </w:p>
        </w:tc>
        <w:tc>
          <w:tcPr>
            <w:tcW w:w="1980" w:type="dxa"/>
            <w:tcBorders>
              <w:top w:val="nil"/>
              <w:left w:val="nil"/>
              <w:bottom w:val="single" w:sz="8" w:space="0" w:color="auto"/>
              <w:right w:val="single" w:sz="8" w:space="0" w:color="auto"/>
            </w:tcBorders>
            <w:shd w:val="clear" w:color="000000" w:fill="FFFFFF"/>
            <w:vAlign w:val="center"/>
            <w:hideMark/>
          </w:tcPr>
          <w:p w14:paraId="58DF4874"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9%</w:t>
            </w:r>
          </w:p>
        </w:tc>
      </w:tr>
      <w:tr w:rsidR="00054805" w:rsidRPr="00054805" w14:paraId="1CDBAB0E" w14:textId="77777777" w:rsidTr="00054805">
        <w:trPr>
          <w:trHeight w:val="315"/>
        </w:trPr>
        <w:tc>
          <w:tcPr>
            <w:tcW w:w="5220" w:type="dxa"/>
            <w:tcBorders>
              <w:top w:val="nil"/>
              <w:left w:val="single" w:sz="8" w:space="0" w:color="auto"/>
              <w:bottom w:val="single" w:sz="8" w:space="0" w:color="auto"/>
              <w:right w:val="single" w:sz="8" w:space="0" w:color="auto"/>
            </w:tcBorders>
            <w:shd w:val="clear" w:color="000000" w:fill="FFFFFF"/>
            <w:noWrap/>
            <w:vAlign w:val="center"/>
            <w:hideMark/>
          </w:tcPr>
          <w:p w14:paraId="4AB1F6FC"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&gt; 1 Year</w:t>
            </w:r>
          </w:p>
        </w:tc>
        <w:tc>
          <w:tcPr>
            <w:tcW w:w="1800" w:type="dxa"/>
            <w:tcBorders>
              <w:top w:val="nil"/>
              <w:left w:val="nil"/>
              <w:bottom w:val="single" w:sz="8" w:space="0" w:color="auto"/>
              <w:right w:val="single" w:sz="8" w:space="0" w:color="auto"/>
            </w:tcBorders>
            <w:shd w:val="clear" w:color="000000" w:fill="FFFFFF"/>
            <w:vAlign w:val="center"/>
            <w:hideMark/>
          </w:tcPr>
          <w:p w14:paraId="285CED60"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293</w:t>
            </w:r>
          </w:p>
        </w:tc>
        <w:tc>
          <w:tcPr>
            <w:tcW w:w="1980" w:type="dxa"/>
            <w:tcBorders>
              <w:top w:val="nil"/>
              <w:left w:val="nil"/>
              <w:bottom w:val="single" w:sz="8" w:space="0" w:color="auto"/>
              <w:right w:val="single" w:sz="8" w:space="0" w:color="auto"/>
            </w:tcBorders>
            <w:shd w:val="clear" w:color="000000" w:fill="FFFFFF"/>
            <w:vAlign w:val="center"/>
            <w:hideMark/>
          </w:tcPr>
          <w:p w14:paraId="100B4ED3"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3%</w:t>
            </w:r>
          </w:p>
        </w:tc>
      </w:tr>
      <w:tr w:rsidR="00054805" w:rsidRPr="00054805" w14:paraId="3F6EA808" w14:textId="77777777" w:rsidTr="00054805">
        <w:trPr>
          <w:trHeight w:val="300"/>
        </w:trPr>
        <w:tc>
          <w:tcPr>
            <w:tcW w:w="5220" w:type="dxa"/>
            <w:tcBorders>
              <w:top w:val="nil"/>
              <w:left w:val="nil"/>
              <w:bottom w:val="nil"/>
              <w:right w:val="nil"/>
            </w:tcBorders>
            <w:shd w:val="clear" w:color="auto" w:fill="auto"/>
            <w:noWrap/>
            <w:vAlign w:val="bottom"/>
            <w:hideMark/>
          </w:tcPr>
          <w:p w14:paraId="323DE69E"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*These groups ARE mutually exclusive</w:t>
            </w:r>
          </w:p>
        </w:tc>
        <w:tc>
          <w:tcPr>
            <w:tcW w:w="1800" w:type="dxa"/>
            <w:tcBorders>
              <w:top w:val="nil"/>
              <w:left w:val="nil"/>
              <w:bottom w:val="nil"/>
              <w:right w:val="nil"/>
            </w:tcBorders>
            <w:shd w:val="clear" w:color="auto" w:fill="auto"/>
            <w:noWrap/>
            <w:vAlign w:val="bottom"/>
            <w:hideMark/>
          </w:tcPr>
          <w:p w14:paraId="0BC50D86" w14:textId="77777777" w:rsidR="00054805" w:rsidRPr="00054805" w:rsidRDefault="00054805" w:rsidP="00054805">
            <w:pPr>
              <w:widowControl/>
              <w:autoSpaceDE/>
              <w:autoSpaceDN/>
              <w:spacing w:after="0" w:line="240" w:lineRule="auto"/>
              <w:rPr>
                <w:rFonts w:eastAsia="Times New Roman"/>
                <w:color w:val="000000"/>
                <w:lang w:bidi="ar-SA"/>
              </w:rPr>
            </w:pPr>
          </w:p>
        </w:tc>
        <w:tc>
          <w:tcPr>
            <w:tcW w:w="1980" w:type="dxa"/>
            <w:tcBorders>
              <w:top w:val="nil"/>
              <w:left w:val="nil"/>
              <w:bottom w:val="nil"/>
              <w:right w:val="nil"/>
            </w:tcBorders>
            <w:shd w:val="clear" w:color="auto" w:fill="auto"/>
            <w:noWrap/>
            <w:vAlign w:val="bottom"/>
            <w:hideMark/>
          </w:tcPr>
          <w:p w14:paraId="21A48428" w14:textId="77777777" w:rsidR="00054805" w:rsidRPr="00054805" w:rsidRDefault="00054805" w:rsidP="00054805">
            <w:pPr>
              <w:widowControl/>
              <w:autoSpaceDE/>
              <w:autoSpaceDN/>
              <w:spacing w:after="0" w:line="240" w:lineRule="auto"/>
              <w:rPr>
                <w:rFonts w:ascii="Times New Roman" w:eastAsia="Times New Roman" w:hAnsi="Times New Roman" w:cs="Times New Roman"/>
                <w:sz w:val="20"/>
                <w:szCs w:val="20"/>
                <w:lang w:bidi="ar-SA"/>
              </w:rPr>
            </w:pPr>
          </w:p>
        </w:tc>
      </w:tr>
    </w:tbl>
    <w:p w14:paraId="2EEA9630" w14:textId="4D83A938" w:rsidR="0079726C" w:rsidRDefault="0079726C" w:rsidP="0079726C">
      <w:pPr>
        <w:pStyle w:val="BodyText"/>
        <w:keepLines/>
        <w:topLinePunct/>
        <w:spacing w:after="0" w:line="240" w:lineRule="auto"/>
        <w:textAlignment w:val="top"/>
        <w:rPr>
          <w:rFonts w:eastAsia="SimSun" w:hAnsi="Arial Regular" w:cs="Arial Regular"/>
        </w:rPr>
      </w:pPr>
      <w:r>
        <w:rPr>
          <w:rFonts w:eastAsia="SimSun" w:hAnsi="Arial Regular" w:cs="Arial Regular"/>
        </w:rPr>
        <w:t>**MOCJ analysis of DOC data. Values may vary slightly from DOC analysis.</w:t>
      </w:r>
    </w:p>
    <w:p w14:paraId="78907890" w14:textId="77777777" w:rsidR="0079726C" w:rsidRDefault="0079726C" w:rsidP="0079726C">
      <w:pPr>
        <w:pStyle w:val="ListParagraph1"/>
        <w:keepLines/>
        <w:tabs>
          <w:tab w:val="left" w:pos="1221"/>
          <w:tab w:val="left" w:pos="1222"/>
        </w:tabs>
        <w:topLinePunct/>
        <w:ind w:left="0"/>
        <w:textAlignment w:val="top"/>
        <w:rPr>
          <w:rFonts w:eastAsia="SimSun" w:hAnsi="Arial Regular" w:cs="Arial Regular"/>
        </w:rPr>
      </w:pPr>
    </w:p>
    <w:p w14:paraId="596E374E" w14:textId="77777777" w:rsidR="0079726C" w:rsidRDefault="0079726C" w:rsidP="0079726C">
      <w:pPr>
        <w:pStyle w:val="BodyText"/>
        <w:keepLines/>
        <w:topLinePunct/>
        <w:textAlignment w:val="top"/>
        <w:rPr>
          <w:rFonts w:eastAsia="SimSun" w:hAnsi="Arial Regular" w:cs="Arial Regular"/>
        </w:rPr>
      </w:pPr>
    </w:p>
    <w:p w14:paraId="744C8313" w14:textId="77777777" w:rsidR="0079726C" w:rsidRDefault="0079726C" w:rsidP="0079726C">
      <w:pPr>
        <w:pStyle w:val="ListParagraph1"/>
        <w:keepLines/>
        <w:tabs>
          <w:tab w:val="left" w:pos="333"/>
        </w:tabs>
        <w:topLinePunct/>
        <w:ind w:left="0"/>
        <w:textAlignment w:val="top"/>
        <w:rPr>
          <w:rFonts w:eastAsia="SimSun" w:hAnsi="Arial Bold" w:cs="Arial Bold"/>
          <w:b/>
          <w:bCs/>
        </w:rPr>
      </w:pPr>
      <w:r>
        <w:rPr>
          <w:rFonts w:eastAsia="SimSun" w:hAnsi="Arial Bold" w:cs="Arial Bold"/>
          <w:b/>
          <w:bCs/>
        </w:rPr>
        <w:t xml:space="preserve">2. The total capacity and average daily population of each </w:t>
      </w:r>
      <w:proofErr w:type="gramStart"/>
      <w:r>
        <w:rPr>
          <w:rFonts w:eastAsia="SimSun" w:hAnsi="Arial Bold" w:cs="Arial Bold"/>
          <w:b/>
          <w:bCs/>
        </w:rPr>
        <w:t>correctional facility</w:t>
      </w:r>
      <w:proofErr w:type="gramEnd"/>
      <w:r>
        <w:rPr>
          <w:rFonts w:eastAsia="SimSun" w:hAnsi="Arial Bold" w:cs="Arial Bold"/>
          <w:b/>
          <w:bCs/>
        </w:rPr>
        <w:t xml:space="preserve"> solely operated by the Department of Correction, disaggregated by</w:t>
      </w:r>
      <w:r>
        <w:rPr>
          <w:rFonts w:eastAsia="SimSun" w:hAnsi="Arial Bold" w:cs="Arial Bold"/>
          <w:b/>
          <w:bCs/>
          <w:spacing w:val="-4"/>
        </w:rPr>
        <w:t xml:space="preserve"> </w:t>
      </w:r>
      <w:r>
        <w:rPr>
          <w:rFonts w:eastAsia="SimSun" w:hAnsi="Arial Bold" w:cs="Arial Bold"/>
          <w:b/>
          <w:bCs/>
        </w:rPr>
        <w:t>facility.</w:t>
      </w:r>
    </w:p>
    <w:tbl>
      <w:tblPr>
        <w:tblW w:w="9000" w:type="dxa"/>
        <w:tblLook w:val="04A0" w:firstRow="1" w:lastRow="0" w:firstColumn="1" w:lastColumn="0" w:noHBand="0" w:noVBand="1"/>
      </w:tblPr>
      <w:tblGrid>
        <w:gridCol w:w="6120"/>
        <w:gridCol w:w="1350"/>
        <w:gridCol w:w="1530"/>
      </w:tblGrid>
      <w:tr w:rsidR="00054805" w:rsidRPr="00054805" w14:paraId="3130F41C" w14:textId="77777777" w:rsidTr="00054805">
        <w:trPr>
          <w:trHeight w:val="315"/>
        </w:trPr>
        <w:tc>
          <w:tcPr>
            <w:tcW w:w="9000" w:type="dxa"/>
            <w:gridSpan w:val="3"/>
            <w:tcBorders>
              <w:top w:val="nil"/>
              <w:left w:val="nil"/>
              <w:bottom w:val="nil"/>
              <w:right w:val="nil"/>
            </w:tcBorders>
            <w:shd w:val="clear" w:color="auto" w:fill="auto"/>
            <w:noWrap/>
            <w:vAlign w:val="bottom"/>
            <w:hideMark/>
          </w:tcPr>
          <w:p w14:paraId="400F976D" w14:textId="77777777" w:rsidR="00054805" w:rsidRPr="00054805" w:rsidRDefault="00054805" w:rsidP="00054805">
            <w:pPr>
              <w:widowControl/>
              <w:autoSpaceDE/>
              <w:autoSpaceDN/>
              <w:spacing w:after="0" w:line="240" w:lineRule="auto"/>
              <w:rPr>
                <w:rFonts w:eastAsia="Times New Roman"/>
                <w:b/>
                <w:bCs/>
                <w:color w:val="000000"/>
                <w:lang w:bidi="ar-SA"/>
              </w:rPr>
            </w:pPr>
            <w:r w:rsidRPr="00054805">
              <w:rPr>
                <w:rFonts w:eastAsia="Times New Roman"/>
                <w:b/>
                <w:bCs/>
                <w:color w:val="000000"/>
                <w:lang w:bidi="ar-SA"/>
              </w:rPr>
              <w:t>Chart 6. Maximum Facility Capacity (MFC) and Average Daily Population (ADP) by Facility</w:t>
            </w:r>
          </w:p>
        </w:tc>
      </w:tr>
      <w:tr w:rsidR="00054805" w:rsidRPr="00054805" w14:paraId="5356302C" w14:textId="77777777" w:rsidTr="00054805">
        <w:trPr>
          <w:trHeight w:val="315"/>
        </w:trPr>
        <w:tc>
          <w:tcPr>
            <w:tcW w:w="6120" w:type="dxa"/>
            <w:tcBorders>
              <w:top w:val="single" w:sz="8" w:space="0" w:color="auto"/>
              <w:left w:val="single" w:sz="8" w:space="0" w:color="auto"/>
              <w:bottom w:val="single" w:sz="8" w:space="0" w:color="auto"/>
              <w:right w:val="nil"/>
            </w:tcBorders>
            <w:shd w:val="clear" w:color="000000" w:fill="BFBFBF"/>
            <w:noWrap/>
            <w:vAlign w:val="center"/>
            <w:hideMark/>
          </w:tcPr>
          <w:p w14:paraId="3E11A2E6" w14:textId="77777777" w:rsidR="00054805" w:rsidRPr="00054805" w:rsidRDefault="00054805" w:rsidP="00054805">
            <w:pPr>
              <w:widowControl/>
              <w:autoSpaceDE/>
              <w:autoSpaceDN/>
              <w:spacing w:after="0" w:line="240" w:lineRule="auto"/>
              <w:rPr>
                <w:rFonts w:eastAsia="Times New Roman"/>
                <w:b/>
                <w:bCs/>
                <w:color w:val="000000"/>
                <w:lang w:bidi="ar-SA"/>
              </w:rPr>
            </w:pPr>
            <w:r w:rsidRPr="00054805">
              <w:rPr>
                <w:rFonts w:eastAsia="Times New Roman"/>
                <w:b/>
                <w:bCs/>
                <w:color w:val="000000"/>
                <w:lang w:bidi="ar-SA"/>
              </w:rPr>
              <w:t>Facility</w:t>
            </w:r>
          </w:p>
        </w:tc>
        <w:tc>
          <w:tcPr>
            <w:tcW w:w="135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5A32B65"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MFC</w:t>
            </w:r>
          </w:p>
        </w:tc>
        <w:tc>
          <w:tcPr>
            <w:tcW w:w="1530" w:type="dxa"/>
            <w:tcBorders>
              <w:top w:val="single" w:sz="8" w:space="0" w:color="auto"/>
              <w:left w:val="nil"/>
              <w:bottom w:val="single" w:sz="8" w:space="0" w:color="auto"/>
              <w:right w:val="single" w:sz="8" w:space="0" w:color="auto"/>
            </w:tcBorders>
            <w:shd w:val="clear" w:color="000000" w:fill="BFBFBF"/>
            <w:noWrap/>
            <w:vAlign w:val="center"/>
            <w:hideMark/>
          </w:tcPr>
          <w:p w14:paraId="1FC4935E" w14:textId="77777777" w:rsidR="00054805" w:rsidRPr="00054805" w:rsidRDefault="00054805" w:rsidP="00054805">
            <w:pPr>
              <w:widowControl/>
              <w:autoSpaceDE/>
              <w:autoSpaceDN/>
              <w:spacing w:after="0" w:line="240" w:lineRule="auto"/>
              <w:jc w:val="center"/>
              <w:rPr>
                <w:rFonts w:eastAsia="Times New Roman"/>
                <w:b/>
                <w:bCs/>
                <w:color w:val="000000"/>
                <w:lang w:bidi="ar-SA"/>
              </w:rPr>
            </w:pPr>
            <w:r w:rsidRPr="00054805">
              <w:rPr>
                <w:rFonts w:eastAsia="Times New Roman"/>
                <w:b/>
                <w:bCs/>
                <w:color w:val="000000"/>
                <w:lang w:bidi="ar-SA"/>
              </w:rPr>
              <w:t>ADP</w:t>
            </w:r>
          </w:p>
        </w:tc>
      </w:tr>
      <w:tr w:rsidR="00054805" w:rsidRPr="00054805" w14:paraId="137D551D"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2C82FC93"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Anna M. Kross Center (AMKC)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38205F28"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2118</w:t>
            </w:r>
          </w:p>
        </w:tc>
        <w:tc>
          <w:tcPr>
            <w:tcW w:w="1530" w:type="dxa"/>
            <w:tcBorders>
              <w:top w:val="nil"/>
              <w:left w:val="nil"/>
              <w:bottom w:val="single" w:sz="8" w:space="0" w:color="auto"/>
              <w:right w:val="single" w:sz="8" w:space="0" w:color="auto"/>
            </w:tcBorders>
            <w:shd w:val="clear" w:color="000000" w:fill="FFFFFF"/>
            <w:noWrap/>
            <w:vAlign w:val="center"/>
            <w:hideMark/>
          </w:tcPr>
          <w:p w14:paraId="4CEF4D82"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1,939</w:t>
            </w:r>
          </w:p>
        </w:tc>
      </w:tr>
      <w:tr w:rsidR="00054805" w:rsidRPr="00054805" w14:paraId="45B8F643"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4A36E7B1"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Vernon C. Bain Center (VCBC)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376346F2"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750</w:t>
            </w:r>
          </w:p>
        </w:tc>
        <w:tc>
          <w:tcPr>
            <w:tcW w:w="1530" w:type="dxa"/>
            <w:tcBorders>
              <w:top w:val="nil"/>
              <w:left w:val="nil"/>
              <w:bottom w:val="single" w:sz="8" w:space="0" w:color="auto"/>
              <w:right w:val="single" w:sz="8" w:space="0" w:color="auto"/>
            </w:tcBorders>
            <w:shd w:val="clear" w:color="000000" w:fill="FFFFFF"/>
            <w:noWrap/>
            <w:vAlign w:val="center"/>
            <w:hideMark/>
          </w:tcPr>
          <w:p w14:paraId="76A57CF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710</w:t>
            </w:r>
          </w:p>
        </w:tc>
      </w:tr>
      <w:tr w:rsidR="00054805" w:rsidRPr="00054805" w14:paraId="1208E651"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63CC4805"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Bellevue Hospital Prison Ward (BHPW)</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2EF3E64C"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c>
          <w:tcPr>
            <w:tcW w:w="1530" w:type="dxa"/>
            <w:tcBorders>
              <w:top w:val="nil"/>
              <w:left w:val="nil"/>
              <w:bottom w:val="single" w:sz="8" w:space="0" w:color="auto"/>
              <w:right w:val="single" w:sz="8" w:space="0" w:color="auto"/>
            </w:tcBorders>
            <w:shd w:val="clear" w:color="000000" w:fill="FFFFFF"/>
            <w:noWrap/>
            <w:vAlign w:val="center"/>
            <w:hideMark/>
          </w:tcPr>
          <w:p w14:paraId="5DD6BC76"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48</w:t>
            </w:r>
          </w:p>
        </w:tc>
      </w:tr>
      <w:tr w:rsidR="00054805" w:rsidRPr="00054805" w14:paraId="65E47D41"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7A787708"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Brooklyn Detention Complex (BKDC)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7A7B644A"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c>
          <w:tcPr>
            <w:tcW w:w="1530" w:type="dxa"/>
            <w:tcBorders>
              <w:top w:val="nil"/>
              <w:left w:val="nil"/>
              <w:bottom w:val="single" w:sz="8" w:space="0" w:color="auto"/>
              <w:right w:val="single" w:sz="8" w:space="0" w:color="auto"/>
            </w:tcBorders>
            <w:shd w:val="clear" w:color="000000" w:fill="FFFFFF"/>
            <w:noWrap/>
            <w:vAlign w:val="center"/>
            <w:hideMark/>
          </w:tcPr>
          <w:p w14:paraId="6AC36AC8"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r>
      <w:tr w:rsidR="00054805" w:rsidRPr="00054805" w14:paraId="7AE60C1D"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09A61775"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Elmhurst Hospital Prison Ward (EHPW)</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43DEAC1C"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c>
          <w:tcPr>
            <w:tcW w:w="1530" w:type="dxa"/>
            <w:tcBorders>
              <w:top w:val="nil"/>
              <w:left w:val="nil"/>
              <w:bottom w:val="single" w:sz="8" w:space="0" w:color="auto"/>
              <w:right w:val="single" w:sz="8" w:space="0" w:color="auto"/>
            </w:tcBorders>
            <w:shd w:val="clear" w:color="000000" w:fill="FFFFFF"/>
            <w:noWrap/>
            <w:vAlign w:val="center"/>
            <w:hideMark/>
          </w:tcPr>
          <w:p w14:paraId="507D8863"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r>
      <w:tr w:rsidR="00054805" w:rsidRPr="00054805" w14:paraId="0D0B3619"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666B9FAE"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Eric M. Taylor Center (EMTC)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49D9CCD2"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1258</w:t>
            </w:r>
          </w:p>
        </w:tc>
        <w:tc>
          <w:tcPr>
            <w:tcW w:w="1530" w:type="dxa"/>
            <w:tcBorders>
              <w:top w:val="nil"/>
              <w:left w:val="nil"/>
              <w:bottom w:val="single" w:sz="8" w:space="0" w:color="auto"/>
              <w:right w:val="single" w:sz="8" w:space="0" w:color="auto"/>
            </w:tcBorders>
            <w:shd w:val="clear" w:color="000000" w:fill="FFFFFF"/>
            <w:noWrap/>
            <w:vAlign w:val="center"/>
            <w:hideMark/>
          </w:tcPr>
          <w:p w14:paraId="439382BC"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882</w:t>
            </w:r>
          </w:p>
        </w:tc>
      </w:tr>
      <w:tr w:rsidR="00054805" w:rsidRPr="00054805" w14:paraId="33011BD5"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022721B8"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George Motchan Detention Center (GMDC)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32455202"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c>
          <w:tcPr>
            <w:tcW w:w="1530" w:type="dxa"/>
            <w:tcBorders>
              <w:top w:val="nil"/>
              <w:left w:val="nil"/>
              <w:bottom w:val="single" w:sz="8" w:space="0" w:color="auto"/>
              <w:right w:val="single" w:sz="8" w:space="0" w:color="auto"/>
            </w:tcBorders>
            <w:shd w:val="clear" w:color="000000" w:fill="FFFFFF"/>
            <w:noWrap/>
            <w:vAlign w:val="center"/>
            <w:hideMark/>
          </w:tcPr>
          <w:p w14:paraId="2867D91E"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r>
      <w:tr w:rsidR="00054805" w:rsidRPr="00054805" w14:paraId="5BA89FCF"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4C957C3E"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George R. Vierno Center (GRVC)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1DCC2367"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749</w:t>
            </w:r>
          </w:p>
        </w:tc>
        <w:tc>
          <w:tcPr>
            <w:tcW w:w="1530" w:type="dxa"/>
            <w:tcBorders>
              <w:top w:val="nil"/>
              <w:left w:val="nil"/>
              <w:bottom w:val="single" w:sz="8" w:space="0" w:color="auto"/>
              <w:right w:val="single" w:sz="8" w:space="0" w:color="auto"/>
            </w:tcBorders>
            <w:shd w:val="clear" w:color="000000" w:fill="FFFFFF"/>
            <w:noWrap/>
            <w:vAlign w:val="center"/>
            <w:hideMark/>
          </w:tcPr>
          <w:p w14:paraId="3B76E7D5"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826</w:t>
            </w:r>
          </w:p>
        </w:tc>
      </w:tr>
      <w:tr w:rsidR="00054805" w:rsidRPr="00054805" w14:paraId="0B60365A"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6F07A256"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Horizon Juvenile Center</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12EBAACA"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c>
          <w:tcPr>
            <w:tcW w:w="1530" w:type="dxa"/>
            <w:tcBorders>
              <w:top w:val="nil"/>
              <w:left w:val="nil"/>
              <w:bottom w:val="single" w:sz="8" w:space="0" w:color="auto"/>
              <w:right w:val="single" w:sz="8" w:space="0" w:color="auto"/>
            </w:tcBorders>
            <w:shd w:val="clear" w:color="000000" w:fill="FFFFFF"/>
            <w:noWrap/>
            <w:vAlign w:val="center"/>
            <w:hideMark/>
          </w:tcPr>
          <w:p w14:paraId="7603D06F"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r>
      <w:tr w:rsidR="00054805" w:rsidRPr="00054805" w14:paraId="33356823"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0511D046"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Manhattan Detention Complex (MDC)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176FBC0A"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c>
          <w:tcPr>
            <w:tcW w:w="1530" w:type="dxa"/>
            <w:tcBorders>
              <w:top w:val="nil"/>
              <w:left w:val="nil"/>
              <w:bottom w:val="single" w:sz="8" w:space="0" w:color="auto"/>
              <w:right w:val="single" w:sz="8" w:space="0" w:color="auto"/>
            </w:tcBorders>
            <w:shd w:val="clear" w:color="000000" w:fill="FFFFFF"/>
            <w:noWrap/>
            <w:vAlign w:val="center"/>
            <w:hideMark/>
          </w:tcPr>
          <w:p w14:paraId="348D7E5C"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r>
      <w:tr w:rsidR="00054805" w:rsidRPr="00054805" w14:paraId="1ABC94DD"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22E8E2F4"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North Infirmary Command (NIC)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5B57751E"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336</w:t>
            </w:r>
          </w:p>
        </w:tc>
        <w:tc>
          <w:tcPr>
            <w:tcW w:w="1530" w:type="dxa"/>
            <w:tcBorders>
              <w:top w:val="nil"/>
              <w:left w:val="nil"/>
              <w:bottom w:val="single" w:sz="8" w:space="0" w:color="auto"/>
              <w:right w:val="single" w:sz="8" w:space="0" w:color="auto"/>
            </w:tcBorders>
            <w:shd w:val="clear" w:color="000000" w:fill="FFFFFF"/>
            <w:noWrap/>
            <w:vAlign w:val="center"/>
            <w:hideMark/>
          </w:tcPr>
          <w:p w14:paraId="4534EEDE"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281</w:t>
            </w:r>
          </w:p>
        </w:tc>
      </w:tr>
      <w:tr w:rsidR="00054805" w:rsidRPr="00054805" w14:paraId="7B4C08AA"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4FA7B06F"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Otis Bantum Correctional Center (OBCC)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6F287D78"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c>
          <w:tcPr>
            <w:tcW w:w="1530" w:type="dxa"/>
            <w:tcBorders>
              <w:top w:val="nil"/>
              <w:left w:val="nil"/>
              <w:bottom w:val="single" w:sz="8" w:space="0" w:color="auto"/>
              <w:right w:val="single" w:sz="8" w:space="0" w:color="auto"/>
            </w:tcBorders>
            <w:shd w:val="clear" w:color="000000" w:fill="FFFFFF"/>
            <w:noWrap/>
            <w:vAlign w:val="center"/>
            <w:hideMark/>
          </w:tcPr>
          <w:p w14:paraId="7F625B0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r>
      <w:tr w:rsidR="00054805" w:rsidRPr="00054805" w14:paraId="1066AD7E"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2EF56735"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Robert N. Davoren Complex (RNDC)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17852310"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1216</w:t>
            </w:r>
          </w:p>
        </w:tc>
        <w:tc>
          <w:tcPr>
            <w:tcW w:w="1530" w:type="dxa"/>
            <w:tcBorders>
              <w:top w:val="nil"/>
              <w:left w:val="nil"/>
              <w:bottom w:val="single" w:sz="8" w:space="0" w:color="auto"/>
              <w:right w:val="single" w:sz="8" w:space="0" w:color="auto"/>
            </w:tcBorders>
            <w:shd w:val="clear" w:color="000000" w:fill="FFFFFF"/>
            <w:noWrap/>
            <w:vAlign w:val="center"/>
            <w:hideMark/>
          </w:tcPr>
          <w:p w14:paraId="699EE93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844</w:t>
            </w:r>
          </w:p>
        </w:tc>
      </w:tr>
      <w:tr w:rsidR="00054805" w:rsidRPr="00054805" w14:paraId="4FAA295B"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4E1A7691"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Rose M. Singer Center (RMSC)</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68437091"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910</w:t>
            </w:r>
          </w:p>
        </w:tc>
        <w:tc>
          <w:tcPr>
            <w:tcW w:w="1530" w:type="dxa"/>
            <w:tcBorders>
              <w:top w:val="nil"/>
              <w:left w:val="nil"/>
              <w:bottom w:val="single" w:sz="8" w:space="0" w:color="auto"/>
              <w:right w:val="single" w:sz="8" w:space="0" w:color="auto"/>
            </w:tcBorders>
            <w:shd w:val="clear" w:color="000000" w:fill="FFFFFF"/>
            <w:noWrap/>
            <w:vAlign w:val="center"/>
            <w:hideMark/>
          </w:tcPr>
          <w:p w14:paraId="7E4246FC"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352</w:t>
            </w:r>
          </w:p>
        </w:tc>
      </w:tr>
      <w:tr w:rsidR="00054805" w:rsidRPr="00054805" w14:paraId="59394352"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4E0172FB"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West Facility (WF)</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28A4E8BE"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98</w:t>
            </w:r>
          </w:p>
        </w:tc>
        <w:tc>
          <w:tcPr>
            <w:tcW w:w="1530" w:type="dxa"/>
            <w:tcBorders>
              <w:top w:val="nil"/>
              <w:left w:val="nil"/>
              <w:bottom w:val="single" w:sz="8" w:space="0" w:color="auto"/>
              <w:right w:val="single" w:sz="8" w:space="0" w:color="auto"/>
            </w:tcBorders>
            <w:shd w:val="clear" w:color="000000" w:fill="FFFFFF"/>
            <w:noWrap/>
            <w:vAlign w:val="center"/>
            <w:hideMark/>
          </w:tcPr>
          <w:p w14:paraId="59818788"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74</w:t>
            </w:r>
          </w:p>
        </w:tc>
      </w:tr>
      <w:tr w:rsidR="00054805" w:rsidRPr="00054805" w14:paraId="503931BD" w14:textId="77777777" w:rsidTr="00054805">
        <w:trPr>
          <w:trHeight w:val="315"/>
        </w:trPr>
        <w:tc>
          <w:tcPr>
            <w:tcW w:w="6120" w:type="dxa"/>
            <w:tcBorders>
              <w:top w:val="nil"/>
              <w:left w:val="single" w:sz="8" w:space="0" w:color="auto"/>
              <w:bottom w:val="single" w:sz="8" w:space="0" w:color="auto"/>
              <w:right w:val="nil"/>
            </w:tcBorders>
            <w:shd w:val="clear" w:color="000000" w:fill="FFFFFF"/>
            <w:noWrap/>
            <w:vAlign w:val="center"/>
            <w:hideMark/>
          </w:tcPr>
          <w:p w14:paraId="04D8959B"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Central Intake (CINT)</w:t>
            </w:r>
          </w:p>
        </w:tc>
        <w:tc>
          <w:tcPr>
            <w:tcW w:w="1350" w:type="dxa"/>
            <w:tcBorders>
              <w:top w:val="nil"/>
              <w:left w:val="single" w:sz="8" w:space="0" w:color="auto"/>
              <w:bottom w:val="single" w:sz="8" w:space="0" w:color="auto"/>
              <w:right w:val="single" w:sz="8" w:space="0" w:color="auto"/>
            </w:tcBorders>
            <w:shd w:val="clear" w:color="000000" w:fill="FFFFFF"/>
            <w:noWrap/>
            <w:vAlign w:val="center"/>
            <w:hideMark/>
          </w:tcPr>
          <w:p w14:paraId="03F0159B"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c>
          <w:tcPr>
            <w:tcW w:w="1530" w:type="dxa"/>
            <w:tcBorders>
              <w:top w:val="nil"/>
              <w:left w:val="nil"/>
              <w:bottom w:val="single" w:sz="8" w:space="0" w:color="auto"/>
              <w:right w:val="single" w:sz="8" w:space="0" w:color="auto"/>
            </w:tcBorders>
            <w:shd w:val="clear" w:color="000000" w:fill="FFFFFF"/>
            <w:noWrap/>
            <w:vAlign w:val="center"/>
            <w:hideMark/>
          </w:tcPr>
          <w:p w14:paraId="2C799AED"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0</w:t>
            </w:r>
          </w:p>
        </w:tc>
      </w:tr>
      <w:tr w:rsidR="00054805" w:rsidRPr="00054805" w14:paraId="351517EE" w14:textId="77777777" w:rsidTr="00054805">
        <w:trPr>
          <w:trHeight w:val="315"/>
        </w:trPr>
        <w:tc>
          <w:tcPr>
            <w:tcW w:w="6120" w:type="dxa"/>
            <w:tcBorders>
              <w:top w:val="nil"/>
              <w:left w:val="single" w:sz="8" w:space="0" w:color="auto"/>
              <w:bottom w:val="single" w:sz="8" w:space="0" w:color="auto"/>
              <w:right w:val="single" w:sz="8" w:space="0" w:color="auto"/>
            </w:tcBorders>
            <w:shd w:val="clear" w:color="000000" w:fill="FFFFFF"/>
            <w:noWrap/>
            <w:vAlign w:val="center"/>
            <w:hideMark/>
          </w:tcPr>
          <w:p w14:paraId="3D360FFA" w14:textId="77777777" w:rsidR="00054805" w:rsidRPr="00054805" w:rsidRDefault="00054805" w:rsidP="00054805">
            <w:pPr>
              <w:widowControl/>
              <w:autoSpaceDE/>
              <w:autoSpaceDN/>
              <w:spacing w:after="0" w:line="240" w:lineRule="auto"/>
              <w:rPr>
                <w:rFonts w:eastAsia="Times New Roman"/>
                <w:color w:val="000000"/>
                <w:lang w:bidi="ar-SA"/>
              </w:rPr>
            </w:pPr>
            <w:r w:rsidRPr="00054805">
              <w:rPr>
                <w:rFonts w:eastAsia="Times New Roman"/>
                <w:color w:val="000000"/>
                <w:lang w:bidi="ar-SA"/>
              </w:rPr>
              <w:t>Rose M. Singer Enhanced Supervised Housing (RESH)*</w:t>
            </w:r>
          </w:p>
        </w:tc>
        <w:tc>
          <w:tcPr>
            <w:tcW w:w="1350" w:type="dxa"/>
            <w:tcBorders>
              <w:top w:val="nil"/>
              <w:left w:val="nil"/>
              <w:bottom w:val="single" w:sz="8" w:space="0" w:color="auto"/>
              <w:right w:val="single" w:sz="8" w:space="0" w:color="auto"/>
            </w:tcBorders>
            <w:shd w:val="clear" w:color="auto" w:fill="auto"/>
            <w:noWrap/>
            <w:vAlign w:val="center"/>
            <w:hideMark/>
          </w:tcPr>
          <w:p w14:paraId="5E0FCE5F" w14:textId="77777777" w:rsidR="00054805" w:rsidRPr="00054805" w:rsidRDefault="00054805" w:rsidP="00054805">
            <w:pPr>
              <w:widowControl/>
              <w:autoSpaceDE/>
              <w:autoSpaceDN/>
              <w:spacing w:after="0" w:line="240" w:lineRule="auto"/>
              <w:jc w:val="center"/>
              <w:rPr>
                <w:rFonts w:eastAsia="Times New Roman"/>
                <w:color w:val="000000"/>
                <w:lang w:bidi="ar-SA"/>
              </w:rPr>
            </w:pPr>
            <w:r w:rsidRPr="00054805">
              <w:rPr>
                <w:rFonts w:eastAsia="Times New Roman"/>
                <w:color w:val="000000"/>
                <w:lang w:bidi="ar-SA"/>
              </w:rPr>
              <w:t>162</w:t>
            </w:r>
          </w:p>
        </w:tc>
        <w:tc>
          <w:tcPr>
            <w:tcW w:w="1530" w:type="dxa"/>
            <w:tcBorders>
              <w:top w:val="nil"/>
              <w:left w:val="nil"/>
              <w:bottom w:val="single" w:sz="8" w:space="0" w:color="auto"/>
              <w:right w:val="single" w:sz="8" w:space="0" w:color="auto"/>
            </w:tcBorders>
            <w:shd w:val="clear" w:color="000000" w:fill="FFFFFF"/>
            <w:noWrap/>
            <w:vAlign w:val="center"/>
            <w:hideMark/>
          </w:tcPr>
          <w:p w14:paraId="1F6D0993" w14:textId="77777777" w:rsidR="00054805" w:rsidRPr="00054805" w:rsidRDefault="00054805" w:rsidP="00054805">
            <w:pPr>
              <w:widowControl/>
              <w:autoSpaceDE/>
              <w:autoSpaceDN/>
              <w:spacing w:after="0" w:line="240" w:lineRule="auto"/>
              <w:jc w:val="center"/>
              <w:rPr>
                <w:rFonts w:eastAsia="Times New Roman"/>
                <w:lang w:bidi="ar-SA"/>
              </w:rPr>
            </w:pPr>
            <w:r w:rsidRPr="00054805">
              <w:rPr>
                <w:rFonts w:eastAsia="Times New Roman"/>
                <w:lang w:bidi="ar-SA"/>
              </w:rPr>
              <w:t>1</w:t>
            </w:r>
          </w:p>
        </w:tc>
      </w:tr>
    </w:tbl>
    <w:p w14:paraId="3DBAC9D6" w14:textId="7BB0C6CC" w:rsidR="00054805" w:rsidRDefault="00054805" w:rsidP="00054805">
      <w:pPr>
        <w:pStyle w:val="BodyText"/>
        <w:keepLines/>
        <w:topLinePunct/>
        <w:spacing w:after="0" w:line="240" w:lineRule="auto"/>
        <w:textAlignment w:val="top"/>
        <w:rPr>
          <w:rFonts w:eastAsia="SimSun" w:hAnsi="Arial Regular" w:cs="Arial Regular"/>
        </w:rPr>
      </w:pPr>
      <w:r w:rsidRPr="00054805">
        <w:rPr>
          <w:rFonts w:eastAsia="SimSun" w:hAnsi="Arial Regular" w:cs="Arial Regular"/>
        </w:rPr>
        <w:t>*RESH was only in operation for the last 3 days of the reporting period</w:t>
      </w:r>
    </w:p>
    <w:p w14:paraId="14EA790A" w14:textId="5CA19415" w:rsidR="0079726C" w:rsidRDefault="0079726C" w:rsidP="00054805">
      <w:pPr>
        <w:pStyle w:val="BodyText"/>
        <w:keepLines/>
        <w:topLinePunct/>
        <w:spacing w:after="0" w:line="240" w:lineRule="auto"/>
        <w:textAlignment w:val="top"/>
        <w:rPr>
          <w:rFonts w:eastAsia="SimSun" w:hAnsi="Arial Regular" w:cs="Arial Regular"/>
        </w:rPr>
      </w:pPr>
      <w:r>
        <w:rPr>
          <w:rFonts w:eastAsia="SimSun" w:hAnsi="Arial Regular" w:cs="Arial Regular"/>
        </w:rPr>
        <w:t>*MOCJ analysis of DOC data. Values may vary slightly from DOC analysis.</w:t>
      </w:r>
    </w:p>
    <w:p w14:paraId="02322C75" w14:textId="5FCA1EBE" w:rsidR="0079726C" w:rsidRDefault="0079726C" w:rsidP="0079726C">
      <w:pPr>
        <w:pStyle w:val="ListParagraph1"/>
        <w:keepLines/>
        <w:tabs>
          <w:tab w:val="left" w:pos="321"/>
        </w:tabs>
        <w:topLinePunct/>
        <w:ind w:left="0"/>
        <w:textAlignment w:val="top"/>
        <w:rPr>
          <w:rFonts w:eastAsia="SimSun" w:hAnsi="Arial Bold" w:cs="Arial Bold"/>
          <w:b/>
          <w:bCs/>
        </w:rPr>
      </w:pPr>
    </w:p>
    <w:p w14:paraId="680A435A" w14:textId="77777777" w:rsidR="00CE5570" w:rsidRDefault="00CE5570" w:rsidP="0079726C">
      <w:pPr>
        <w:pStyle w:val="ListParagraph1"/>
        <w:keepLines/>
        <w:tabs>
          <w:tab w:val="left" w:pos="321"/>
        </w:tabs>
        <w:topLinePunct/>
        <w:ind w:left="0"/>
        <w:textAlignment w:val="top"/>
        <w:rPr>
          <w:rFonts w:eastAsia="SimSun" w:hAnsi="Arial Bold" w:cs="Arial Bold"/>
          <w:b/>
          <w:bCs/>
        </w:rPr>
      </w:pPr>
    </w:p>
    <w:p w14:paraId="59E04457" w14:textId="6EE8F944" w:rsidR="0079726C" w:rsidRDefault="0079726C" w:rsidP="0079726C">
      <w:pPr>
        <w:pStyle w:val="ListParagraph1"/>
        <w:keepLines/>
        <w:tabs>
          <w:tab w:val="left" w:pos="321"/>
        </w:tabs>
        <w:topLinePunct/>
        <w:ind w:left="0"/>
        <w:textAlignment w:val="top"/>
        <w:rPr>
          <w:rFonts w:eastAsia="SimSun" w:hAnsi="Arial Bold" w:cs="Arial Bold"/>
          <w:b/>
          <w:bCs/>
        </w:rPr>
      </w:pPr>
      <w:r>
        <w:rPr>
          <w:rFonts w:eastAsia="SimSun" w:hAnsi="Arial Bold" w:cs="Arial Bold"/>
          <w:b/>
          <w:bCs/>
        </w:rPr>
        <w:t xml:space="preserve">3. The timeline for closure of each </w:t>
      </w:r>
      <w:proofErr w:type="gramStart"/>
      <w:r>
        <w:rPr>
          <w:rFonts w:eastAsia="SimSun" w:hAnsi="Arial Bold" w:cs="Arial Bold"/>
          <w:b/>
          <w:bCs/>
        </w:rPr>
        <w:t>correctional facility</w:t>
      </w:r>
      <w:proofErr w:type="gramEnd"/>
      <w:r>
        <w:rPr>
          <w:rFonts w:eastAsia="SimSun" w:hAnsi="Arial Bold" w:cs="Arial Bold"/>
          <w:b/>
          <w:bCs/>
        </w:rPr>
        <w:t xml:space="preserve"> located on Rikers Island, any significant changes to such timeline, and any significant actions taken by the mayor in response to such</w:t>
      </w:r>
      <w:r>
        <w:rPr>
          <w:rFonts w:eastAsia="SimSun" w:hAnsi="Arial Bold" w:cs="Arial Bold"/>
          <w:b/>
          <w:bCs/>
          <w:spacing w:val="-22"/>
        </w:rPr>
        <w:t xml:space="preserve"> </w:t>
      </w:r>
      <w:r>
        <w:rPr>
          <w:rFonts w:eastAsia="SimSun" w:hAnsi="Arial Bold" w:cs="Arial Bold"/>
          <w:b/>
          <w:bCs/>
        </w:rPr>
        <w:t xml:space="preserve">changes. </w:t>
      </w:r>
    </w:p>
    <w:p w14:paraId="719CCBC0" w14:textId="77777777" w:rsidR="00DE4674" w:rsidRPr="00AC762D" w:rsidRDefault="00DE4674" w:rsidP="00DE4674">
      <w:pPr>
        <w:topLinePunct/>
        <w:textAlignment w:val="top"/>
        <w:rPr>
          <w:rFonts w:eastAsiaTheme="minorHAnsi"/>
          <w:shd w:val="clear" w:color="auto" w:fill="FFFFFF"/>
          <w:lang w:eastAsia="zh-CN" w:bidi="ar-SA"/>
        </w:rPr>
      </w:pPr>
      <w:r w:rsidRPr="00AC762D">
        <w:rPr>
          <w:shd w:val="clear" w:color="auto" w:fill="FFFFFF"/>
          <w:lang w:eastAsia="zh-CN"/>
        </w:rPr>
        <w:t xml:space="preserve">The James A. Taylor Center (JATC) on Rikers Island was transferred to DCAS in July 2021. This was the first facility on Rikers Island to be transferred from the Department of Correction to DCAS as part of the Renewable Rikers Act. In December 2021, DOC transferred three additional parcels of land to DCAS. </w:t>
      </w:r>
    </w:p>
    <w:p w14:paraId="27417837" w14:textId="77777777" w:rsidR="00DE4674" w:rsidRPr="00AC762D" w:rsidRDefault="00DE4674" w:rsidP="00DE4674">
      <w:pPr>
        <w:topLinePunct/>
        <w:textAlignment w:val="top"/>
        <w:rPr>
          <w:shd w:val="clear" w:color="auto" w:fill="FFFFFF"/>
          <w:lang w:eastAsia="zh-CN"/>
        </w:rPr>
      </w:pPr>
      <w:r>
        <w:rPr>
          <w:shd w:val="clear" w:color="auto" w:fill="FFFFFF"/>
          <w:lang w:eastAsia="zh-CN"/>
        </w:rPr>
        <w:t>Borough facilities</w:t>
      </w:r>
      <w:r w:rsidRPr="00AC762D">
        <w:rPr>
          <w:shd w:val="clear" w:color="auto" w:fill="FFFFFF"/>
          <w:lang w:eastAsia="zh-CN"/>
        </w:rPr>
        <w:t xml:space="preserve"> MDC, BKDC and QDC</w:t>
      </w:r>
      <w:r>
        <w:rPr>
          <w:shd w:val="clear" w:color="auto" w:fill="FFFFFF"/>
          <w:lang w:eastAsia="zh-CN"/>
        </w:rPr>
        <w:t xml:space="preserve"> have been vacated</w:t>
      </w:r>
      <w:r w:rsidRPr="00AC762D">
        <w:rPr>
          <w:shd w:val="clear" w:color="auto" w:fill="FFFFFF"/>
          <w:lang w:eastAsia="zh-CN"/>
        </w:rPr>
        <w:t xml:space="preserve"> in preparation for demolition as part of the borough-based jail program. </w:t>
      </w:r>
    </w:p>
    <w:p w14:paraId="3FE3CBEF" w14:textId="77777777" w:rsidR="0079726C" w:rsidRDefault="0079726C" w:rsidP="0079726C">
      <w:pPr>
        <w:pStyle w:val="BodyText"/>
        <w:keepLines/>
        <w:topLinePunct/>
        <w:textAlignment w:val="top"/>
        <w:rPr>
          <w:rFonts w:eastAsia="SimSun" w:hAnsi="Arial Regular" w:cs="Arial Regular"/>
        </w:rPr>
      </w:pPr>
    </w:p>
    <w:p w14:paraId="21136A31" w14:textId="77777777" w:rsidR="0079726C" w:rsidRDefault="0079726C" w:rsidP="0079726C">
      <w:pPr>
        <w:pStyle w:val="Heading1"/>
        <w:keepLines/>
        <w:tabs>
          <w:tab w:val="left" w:pos="321"/>
        </w:tabs>
        <w:topLinePunct/>
        <w:ind w:left="0"/>
        <w:textAlignment w:val="top"/>
        <w:rPr>
          <w:rFonts w:eastAsia="SimSun" w:hAnsi="Arial Bold" w:cs="Arial Bold"/>
          <w:bCs w:val="0"/>
        </w:rPr>
      </w:pPr>
      <w:r>
        <w:rPr>
          <w:rFonts w:eastAsia="SimSun" w:hAnsi="Arial Bold" w:cs="Arial Bold"/>
          <w:bCs w:val="0"/>
        </w:rPr>
        <w:t>4. The budget for closure and any significant changes to such</w:t>
      </w:r>
      <w:r>
        <w:rPr>
          <w:rFonts w:eastAsia="SimSun" w:hAnsi="Arial Bold" w:cs="Arial Bold"/>
          <w:bCs w:val="0"/>
          <w:spacing w:val="-10"/>
        </w:rPr>
        <w:t xml:space="preserve"> </w:t>
      </w:r>
      <w:r>
        <w:rPr>
          <w:rFonts w:eastAsia="SimSun" w:hAnsi="Arial Bold" w:cs="Arial Bold"/>
          <w:bCs w:val="0"/>
        </w:rPr>
        <w:t xml:space="preserve">budget. </w:t>
      </w:r>
    </w:p>
    <w:p w14:paraId="1E4D5160" w14:textId="77777777" w:rsidR="00DE4674" w:rsidRPr="00AC762D" w:rsidRDefault="00DE4674" w:rsidP="00DE4674">
      <w:pPr>
        <w:pStyle w:val="BodyText"/>
        <w:keepLines/>
        <w:topLinePunct/>
        <w:textAlignment w:val="top"/>
        <w:rPr>
          <w:rFonts w:eastAsia="SimSun" w:hAnsi="Arial" w:cs="Arial"/>
          <w:bCs/>
        </w:rPr>
      </w:pPr>
      <w:r w:rsidRPr="00AC762D">
        <w:rPr>
          <w:rFonts w:eastAsia="SimSun" w:hAnsi="Arial" w:cs="Arial"/>
          <w:bCs/>
        </w:rPr>
        <w:t xml:space="preserve">There is no specific budget required to manage DOC facility closures. The Department redeploys existing staff to carry out all necessary tasks associated with facility closures, without a specific budget allocated for this purpose. </w:t>
      </w:r>
    </w:p>
    <w:p w14:paraId="4ED7EA96" w14:textId="77777777" w:rsidR="0079726C" w:rsidRDefault="0079726C" w:rsidP="0079726C">
      <w:pPr>
        <w:pStyle w:val="BodyText"/>
        <w:keepLines/>
        <w:topLinePunct/>
        <w:textAlignment w:val="top"/>
        <w:rPr>
          <w:rFonts w:eastAsia="SimSun" w:hAnsi="Arial" w:cs="Arial"/>
          <w:bCs/>
        </w:rPr>
      </w:pPr>
    </w:p>
    <w:p w14:paraId="4C4F4D57" w14:textId="77777777" w:rsidR="0079726C" w:rsidRPr="00F072F2" w:rsidRDefault="0079726C" w:rsidP="0079726C">
      <w:pPr>
        <w:pStyle w:val="BodyText"/>
        <w:keepLines/>
        <w:topLinePunct/>
        <w:textAlignment w:val="top"/>
        <w:rPr>
          <w:rFonts w:eastAsia="wf_segoe-ui_normal"/>
          <w:b/>
          <w:shd w:val="clear" w:color="auto" w:fill="FFFFFF"/>
          <w:lang w:eastAsia="zh-CN" w:bidi="ar"/>
        </w:rPr>
      </w:pPr>
      <w:r w:rsidRPr="00F072F2">
        <w:rPr>
          <w:rFonts w:eastAsia="wf_segoe-ui_normal"/>
          <w:b/>
          <w:shd w:val="clear" w:color="auto" w:fill="FFFFFF"/>
          <w:lang w:eastAsia="zh-CN" w:bidi="ar"/>
        </w:rPr>
        <w:t>5. The procurement of contracts related to closure and construction of jail facilities, including any relevant timelines. </w:t>
      </w:r>
    </w:p>
    <w:p w14:paraId="0E6FA44F" w14:textId="77777777" w:rsidR="00DE4674" w:rsidRPr="00F072F2" w:rsidRDefault="00DE4674" w:rsidP="00DE4674">
      <w:pPr>
        <w:pStyle w:val="BodyText"/>
        <w:keepLines/>
        <w:topLinePunct/>
        <w:textAlignment w:val="top"/>
        <w:rPr>
          <w:rFonts w:eastAsia="wf_segoe-ui_normal"/>
          <w:shd w:val="clear" w:color="auto" w:fill="FFFFFF"/>
          <w:lang w:eastAsia="zh-CN" w:bidi="ar"/>
        </w:rPr>
      </w:pPr>
      <w:r w:rsidRPr="00F072F2">
        <w:rPr>
          <w:rFonts w:eastAsia="wf_segoe-ui_normal"/>
          <w:shd w:val="clear" w:color="auto" w:fill="FFFFFF"/>
          <w:lang w:eastAsia="zh-CN" w:bidi="ar"/>
        </w:rPr>
        <w:t xml:space="preserve">The City continues to make significant progress in procurement of contracts for the Borough-Based Jails (BBJ) Program. Four early works projects are ongoing – dismantlement of the existing jail facilities in Manhattan, Queens, and Brooklyn, and site preparation work in the Bronx. The City has awarded a facility Design-Builder in Brooklyn in June 2023, while facility procurements are still ongoing in the other three boroughs.  </w:t>
      </w:r>
    </w:p>
    <w:p w14:paraId="6BFF15B5" w14:textId="77777777" w:rsidR="00DE4674" w:rsidRPr="00F072F2" w:rsidRDefault="00DE4674" w:rsidP="00DE4674">
      <w:pPr>
        <w:pStyle w:val="BodyText"/>
        <w:keepLines/>
        <w:topLinePunct/>
        <w:textAlignment w:val="top"/>
        <w:rPr>
          <w:rFonts w:eastAsia="wf_segoe-ui_normal"/>
          <w:u w:val="single"/>
          <w:shd w:val="clear" w:color="auto" w:fill="FFFFFF"/>
          <w:lang w:eastAsia="zh-CN" w:bidi="ar"/>
        </w:rPr>
      </w:pPr>
      <w:r w:rsidRPr="00F072F2">
        <w:rPr>
          <w:rFonts w:eastAsia="wf_segoe-ui_normal"/>
          <w:u w:val="single"/>
          <w:shd w:val="clear" w:color="auto" w:fill="FFFFFF"/>
          <w:lang w:eastAsia="zh-CN" w:bidi="ar"/>
        </w:rPr>
        <w:t xml:space="preserve">BBJ Early Works: </w:t>
      </w:r>
    </w:p>
    <w:p w14:paraId="33F0A4A2" w14:textId="77777777" w:rsidR="00DE4674" w:rsidRPr="00F072F2" w:rsidRDefault="00DE4674" w:rsidP="00DE4674">
      <w:pPr>
        <w:pStyle w:val="BodyText"/>
        <w:keepLines/>
        <w:topLinePunct/>
        <w:textAlignment w:val="top"/>
        <w:rPr>
          <w:rFonts w:eastAsia="wf_segoe-ui_normal"/>
          <w:lang w:eastAsia="zh-CN" w:bidi="ar"/>
        </w:rPr>
      </w:pPr>
      <w:r w:rsidRPr="00F072F2">
        <w:rPr>
          <w:rFonts w:eastAsia="wf_segoe-ui_normal"/>
          <w:shd w:val="clear" w:color="auto" w:fill="FFFFFF"/>
          <w:lang w:eastAsia="zh-CN" w:bidi="ar"/>
        </w:rPr>
        <w:t xml:space="preserve">The Brooklyn Dismantle/Swing Space contract was awarded to NorthStar Contracting Group. The contract was registered on November 26, 2021, and NorthStar received a Notice to Proceed (NTP) on December 20, 2021. </w:t>
      </w:r>
      <w:r w:rsidRPr="00F072F2">
        <w:rPr>
          <w:rFonts w:eastAsia="wf_segoe-ui_normal"/>
          <w:lang w:eastAsia="zh-CN" w:bidi="ar"/>
        </w:rPr>
        <w:t xml:space="preserve">Dismantlement is ongoing through Fall 2023. </w:t>
      </w:r>
    </w:p>
    <w:p w14:paraId="31E8B9A3" w14:textId="77777777" w:rsidR="00DE4674" w:rsidRPr="00F072F2" w:rsidRDefault="00DE4674" w:rsidP="00DE4674">
      <w:pPr>
        <w:pStyle w:val="BodyText"/>
        <w:keepLines/>
        <w:topLinePunct/>
        <w:textAlignment w:val="top"/>
        <w:rPr>
          <w:rFonts w:eastAsia="wf_segoe-ui_normal"/>
          <w:shd w:val="clear" w:color="auto" w:fill="FFFFFF"/>
          <w:lang w:eastAsia="zh-CN" w:bidi="ar"/>
        </w:rPr>
      </w:pPr>
      <w:r w:rsidRPr="00F072F2">
        <w:rPr>
          <w:rFonts w:eastAsia="wf_segoe-ui_normal"/>
          <w:shd w:val="clear" w:color="auto" w:fill="FFFFFF"/>
          <w:lang w:eastAsia="zh-CN" w:bidi="ar"/>
        </w:rPr>
        <w:t xml:space="preserve">The Queens Dismantle/Swing Space contract was awarded to Hunter Roberts Construction Group, LLC. The contract was registered on December 21, 2021, and Hunter Roberts received a Notice to Proceed (NTP) on December 27, 2021. </w:t>
      </w:r>
      <w:r w:rsidRPr="00F072F2">
        <w:rPr>
          <w:rFonts w:eastAsia="wf_segoe-ui_normal"/>
          <w:lang w:eastAsia="zh-CN" w:bidi="ar"/>
        </w:rPr>
        <w:t xml:space="preserve">Dismantlement is ongoing through Fall 2023. </w:t>
      </w:r>
    </w:p>
    <w:p w14:paraId="48267370" w14:textId="77777777" w:rsidR="00DE4674" w:rsidRPr="00F072F2" w:rsidRDefault="00DE4674" w:rsidP="00DE4674">
      <w:pPr>
        <w:pStyle w:val="BodyText"/>
        <w:keepLines/>
        <w:topLinePunct/>
        <w:textAlignment w:val="top"/>
        <w:rPr>
          <w:rFonts w:eastAsia="wf_segoe-ui_normal"/>
          <w:shd w:val="clear" w:color="auto" w:fill="FFFFFF"/>
          <w:lang w:eastAsia="zh-CN" w:bidi="ar"/>
        </w:rPr>
      </w:pPr>
      <w:r w:rsidRPr="00F072F2">
        <w:rPr>
          <w:rFonts w:eastAsia="wf_segoe-ui_normal"/>
          <w:shd w:val="clear" w:color="auto" w:fill="FFFFFF"/>
          <w:lang w:eastAsia="zh-CN" w:bidi="ar"/>
        </w:rPr>
        <w:t xml:space="preserve">The Manhattan Dismantle/Swing Space contract was awarded to Gramercy Group Inc. The contract was registered on December 22, 2021, and Gramercy received a Notice to Proceed (NTP) on December 27, 2021. </w:t>
      </w:r>
      <w:r w:rsidRPr="00F072F2">
        <w:rPr>
          <w:rFonts w:eastAsia="wf_segoe-ui_normal"/>
          <w:lang w:eastAsia="zh-CN" w:bidi="ar"/>
        </w:rPr>
        <w:t xml:space="preserve">Dismantlement is ongoing through Fall 2024.  </w:t>
      </w:r>
    </w:p>
    <w:p w14:paraId="062765A2" w14:textId="77777777" w:rsidR="00DE4674" w:rsidRPr="00F072F2" w:rsidRDefault="00DE4674" w:rsidP="00DE4674">
      <w:pPr>
        <w:pStyle w:val="BodyText"/>
        <w:keepLines/>
        <w:topLinePunct/>
        <w:textAlignment w:val="top"/>
        <w:rPr>
          <w:rFonts w:eastAsia="wf_segoe-ui_normal"/>
          <w:shd w:val="clear" w:color="auto" w:fill="FFFFFF"/>
          <w:lang w:eastAsia="zh-CN" w:bidi="ar"/>
        </w:rPr>
      </w:pPr>
      <w:r w:rsidRPr="00F072F2">
        <w:rPr>
          <w:rFonts w:eastAsia="wf_segoe-ui_normal"/>
          <w:shd w:val="clear" w:color="auto" w:fill="FFFFFF"/>
          <w:lang w:eastAsia="zh-CN" w:bidi="ar"/>
        </w:rPr>
        <w:lastRenderedPageBreak/>
        <w:t xml:space="preserve">The Bronx Site Preparation contract was awarded to Yonkers Contracting Company Inc. The contract was registered on December 21, 2021, and Yonkers received a Notice to Proceed (NTP) on December 27, 2021. Site preparation is ongoing. In summer 2023, the City has asked Yonkers to continue with full rock removal on site in preparation for the future Facility construction. Rock removal is projected for approximately 8 months – between summer 2023 and early 2024. </w:t>
      </w:r>
    </w:p>
    <w:p w14:paraId="3072B871" w14:textId="77777777" w:rsidR="00DE4674" w:rsidRPr="00F072F2" w:rsidRDefault="00DE4674" w:rsidP="00DE4674">
      <w:pPr>
        <w:pStyle w:val="BodyText"/>
        <w:keepLines/>
        <w:topLinePunct/>
        <w:textAlignment w:val="top"/>
        <w:rPr>
          <w:rFonts w:eastAsia="wf_segoe-ui_normal"/>
          <w:u w:val="single"/>
          <w:shd w:val="clear" w:color="auto" w:fill="FFFFFF"/>
          <w:lang w:eastAsia="zh-CN" w:bidi="ar"/>
        </w:rPr>
      </w:pPr>
      <w:r w:rsidRPr="00F072F2">
        <w:rPr>
          <w:rFonts w:eastAsia="wf_segoe-ui_normal"/>
          <w:u w:val="single"/>
          <w:shd w:val="clear" w:color="auto" w:fill="FFFFFF"/>
          <w:lang w:eastAsia="zh-CN" w:bidi="ar"/>
        </w:rPr>
        <w:t xml:space="preserve">BBJ Facilities: </w:t>
      </w:r>
    </w:p>
    <w:p w14:paraId="3C1A908E" w14:textId="77777777" w:rsidR="00DE4674" w:rsidRPr="00F072F2" w:rsidRDefault="00DE4674" w:rsidP="00DE4674">
      <w:pPr>
        <w:keepNext/>
        <w:keepLines/>
        <w:widowControl/>
        <w:shd w:val="clear" w:color="auto" w:fill="FFFFFF"/>
        <w:topLinePunct/>
        <w:textAlignment w:val="top"/>
        <w:rPr>
          <w:shd w:val="clear" w:color="auto" w:fill="FFFFFF"/>
        </w:rPr>
      </w:pPr>
      <w:r w:rsidRPr="00F072F2">
        <w:rPr>
          <w:shd w:val="clear" w:color="auto" w:fill="FFFFFF"/>
        </w:rPr>
        <w:t xml:space="preserve">The Brooklyn Facility contract was awarded to Tutor Perini Corporation (TPC). The contract was registered on June 6, 2023, and Tutor Perini Corporation received a Notice to Proceed (NTP) on June 29, 2023. Currently, design work is underway. Substantial completion is projected for Spring 2029.  </w:t>
      </w:r>
    </w:p>
    <w:p w14:paraId="622878B1" w14:textId="77777777" w:rsidR="00DE4674" w:rsidRPr="00F072F2" w:rsidRDefault="00DE4674" w:rsidP="00DE4674">
      <w:pPr>
        <w:keepNext/>
        <w:keepLines/>
        <w:widowControl/>
        <w:shd w:val="clear" w:color="auto" w:fill="FFFFFF"/>
        <w:topLinePunct/>
        <w:textAlignment w:val="top"/>
        <w:rPr>
          <w:rFonts w:eastAsia="wf_segoe-ui_normal"/>
          <w:bCs/>
          <w:shd w:val="clear" w:color="auto" w:fill="FFFFFF"/>
          <w:lang w:eastAsia="zh-CN" w:bidi="ar"/>
        </w:rPr>
      </w:pPr>
      <w:r w:rsidRPr="00F072F2">
        <w:rPr>
          <w:shd w:val="clear" w:color="auto" w:fill="FFFFFF"/>
        </w:rPr>
        <w:t xml:space="preserve">An RFP for the Queens BBJ Facility was issued to the Leon D. DeMatteis Construction Corp in summer 2022. Currently, procurement is ongoing, with the project due to get underway in 2024. </w:t>
      </w:r>
    </w:p>
    <w:p w14:paraId="45AB07BA" w14:textId="77777777" w:rsidR="00DE4674" w:rsidRPr="00F072F2" w:rsidRDefault="00DE4674" w:rsidP="00DE4674">
      <w:pPr>
        <w:keepNext/>
        <w:keepLines/>
        <w:widowControl/>
        <w:shd w:val="clear" w:color="auto" w:fill="FFFFFF" w:themeFill="background1"/>
        <w:topLinePunct/>
        <w:textAlignment w:val="top"/>
        <w:rPr>
          <w:shd w:val="clear" w:color="auto" w:fill="FFFFFF"/>
        </w:rPr>
      </w:pPr>
      <w:r w:rsidRPr="00F072F2">
        <w:rPr>
          <w:shd w:val="clear" w:color="auto" w:fill="FFFFFF"/>
        </w:rPr>
        <w:t xml:space="preserve">An RFP for the Bronx BBJ Facility was issued in the summer of 2022 to Transformative Reform Group, LLC, led by SLSCO and Sciame Construction; and to Cauldwell Wingate 2022 Company, LLC. Currently, procurement is ongoing, with the project due to get underway in 2024. </w:t>
      </w:r>
    </w:p>
    <w:p w14:paraId="4D5433DA" w14:textId="77777777" w:rsidR="00DE4674" w:rsidRPr="00F072F2" w:rsidRDefault="00DE4674" w:rsidP="00DE4674">
      <w:pPr>
        <w:pStyle w:val="BodyText"/>
        <w:keepLines/>
        <w:topLinePunct/>
        <w:textAlignment w:val="top"/>
        <w:rPr>
          <w:rFonts w:eastAsia="wf_segoe-ui_normal"/>
          <w:bCs/>
          <w:shd w:val="clear" w:color="auto" w:fill="FFFFFF"/>
          <w:lang w:eastAsia="zh-CN" w:bidi="ar"/>
        </w:rPr>
      </w:pPr>
      <w:r w:rsidRPr="00F072F2">
        <w:rPr>
          <w:rFonts w:eastAsia="wf_segoe-ui_normal"/>
          <w:bCs/>
          <w:shd w:val="clear" w:color="auto" w:fill="FFFFFF"/>
          <w:lang w:eastAsia="zh-CN" w:bidi="ar"/>
        </w:rPr>
        <w:t xml:space="preserve">The Manhattan Facility RFP was issued on December 24, 2021. In response to construction industry feedback and following the easing of the Covid pandemic, the City will re-issue a </w:t>
      </w:r>
      <w:r w:rsidRPr="00F072F2">
        <w:rPr>
          <w:shd w:val="clear" w:color="auto" w:fill="FFFFFF"/>
        </w:rPr>
        <w:t>new Request for Qualifications (RFQ) in September 2023, followed by a Request for Proposals (RFP) to short-listed vendors in early-2024. The shortlisted teams will each receive the confidential Request for Proposals (RFP) for which they must develop a proposal that will undergo a best value evaluation.</w:t>
      </w:r>
    </w:p>
    <w:p w14:paraId="4F8B0433" w14:textId="77777777" w:rsidR="0079726C" w:rsidRPr="00F072F2" w:rsidRDefault="0079726C" w:rsidP="0079726C">
      <w:pPr>
        <w:pStyle w:val="BodyText"/>
        <w:keepLines/>
        <w:topLinePunct/>
        <w:textAlignment w:val="top"/>
        <w:rPr>
          <w:rFonts w:eastAsia="wf_segoe-ui_normal" w:hAnsi="wf_segoe-ui_normal" w:cs="wf_segoe-ui_normal"/>
          <w:shd w:val="clear" w:color="auto" w:fill="FFFFFF"/>
          <w:lang w:eastAsia="zh-CN" w:bidi="ar"/>
        </w:rPr>
      </w:pPr>
    </w:p>
    <w:p w14:paraId="232CF7D7" w14:textId="77777777" w:rsidR="0079726C" w:rsidRPr="00F072F2" w:rsidRDefault="0079726C" w:rsidP="0079726C">
      <w:pPr>
        <w:pStyle w:val="BodyText"/>
        <w:keepLines/>
        <w:topLinePunct/>
        <w:textAlignment w:val="top"/>
        <w:rPr>
          <w:rFonts w:eastAsia="wf_segoe-ui_normal"/>
          <w:b/>
          <w:shd w:val="clear" w:color="auto" w:fill="FFFFFF"/>
          <w:lang w:eastAsia="zh-CN" w:bidi="ar"/>
        </w:rPr>
      </w:pPr>
      <w:r w:rsidRPr="00F072F2">
        <w:rPr>
          <w:rFonts w:eastAsia="wf_segoe-ui_normal" w:hAnsi="wf_segoe-ui_normal" w:cs="wf_segoe-ui_normal"/>
          <w:b/>
          <w:shd w:val="clear" w:color="auto" w:fill="FFFFFF"/>
        </w:rPr>
        <w:t>6. A general overview of the design and construction of new jail facilities and any related information regarding the timelines for the construction of new</w:t>
      </w:r>
      <w:r w:rsidRPr="00F072F2">
        <w:rPr>
          <w:rFonts w:eastAsia="wf_segoe-ui_normal" w:hAnsi="wf_segoe-ui_normal" w:cs="wf_segoe-ui_normal"/>
          <w:b/>
          <w:shd w:val="clear" w:color="auto" w:fill="FFFFFF"/>
        </w:rPr>
        <w:t> </w:t>
      </w:r>
      <w:r w:rsidRPr="00F072F2">
        <w:rPr>
          <w:rFonts w:eastAsia="wf_segoe-ui_normal" w:hAnsi="wf_segoe-ui_normal" w:cs="wf_segoe-ui_normal"/>
          <w:b/>
          <w:shd w:val="clear" w:color="auto" w:fill="FFFFFF"/>
        </w:rPr>
        <w:t>facilities.</w:t>
      </w:r>
    </w:p>
    <w:p w14:paraId="0A6C7AE0" w14:textId="77777777" w:rsidR="00DE4674" w:rsidRPr="00F072F2" w:rsidRDefault="00DE4674" w:rsidP="00DE4674">
      <w:pPr>
        <w:rPr>
          <w:rFonts w:eastAsia="SimSun" w:hAnsi="Arial Regular" w:cs="Arial Regular"/>
          <w:lang w:eastAsia="zh-CN" w:bidi="ar"/>
        </w:rPr>
      </w:pPr>
      <w:r w:rsidRPr="00F072F2">
        <w:rPr>
          <w:rFonts w:eastAsia="SimSun" w:hAnsi="Arial Regular" w:cs="Arial Regular"/>
          <w:shd w:val="clear" w:color="auto" w:fill="FFFFFF"/>
          <w:lang w:eastAsia="zh-CN" w:bidi="ar"/>
        </w:rPr>
        <w:t xml:space="preserve">Please see response to Question #5 above. </w:t>
      </w:r>
    </w:p>
    <w:p w14:paraId="3FA4463D" w14:textId="77777777" w:rsidR="0079726C" w:rsidRDefault="0079726C" w:rsidP="0079726C">
      <w:pPr>
        <w:keepLines/>
        <w:widowControl/>
        <w:shd w:val="clear" w:color="auto" w:fill="FFFFFF"/>
        <w:topLinePunct/>
        <w:textAlignment w:val="top"/>
        <w:rPr>
          <w:rFonts w:eastAsia="wf_segoe-ui_normal" w:hAnsi="wf_segoe-ui_normal" w:cs="wf_segoe-ui_normal"/>
          <w:color w:val="000000"/>
          <w:shd w:val="clear" w:color="auto" w:fill="FFFFFF"/>
          <w:lang w:eastAsia="zh-CN" w:bidi="ar"/>
        </w:rPr>
      </w:pPr>
    </w:p>
    <w:p w14:paraId="1C276961" w14:textId="77777777" w:rsidR="0079726C" w:rsidRDefault="0079726C" w:rsidP="0079726C">
      <w:pPr>
        <w:pStyle w:val="Heading1"/>
        <w:keepLines/>
        <w:tabs>
          <w:tab w:val="left" w:pos="321"/>
        </w:tabs>
        <w:topLinePunct/>
        <w:ind w:left="0"/>
        <w:textAlignment w:val="top"/>
        <w:rPr>
          <w:rFonts w:eastAsia="SimSun" w:hAnsi="Arial Bold" w:cs="Arial Bold"/>
          <w:bCs w:val="0"/>
        </w:rPr>
      </w:pPr>
      <w:r>
        <w:rPr>
          <w:rFonts w:eastAsia="SimSun" w:hAnsi="Arial Bold" w:cs="Arial Bold"/>
          <w:bCs w:val="0"/>
        </w:rPr>
        <w:t xml:space="preserve">7. Populations relocated </w:t>
      </w:r>
      <w:proofErr w:type="gramStart"/>
      <w:r>
        <w:rPr>
          <w:rFonts w:eastAsia="SimSun" w:hAnsi="Arial Bold" w:cs="Arial Bold"/>
          <w:bCs w:val="0"/>
        </w:rPr>
        <w:t>as a result of</w:t>
      </w:r>
      <w:proofErr w:type="gramEnd"/>
      <w:r>
        <w:rPr>
          <w:rFonts w:eastAsia="SimSun" w:hAnsi="Arial Bold" w:cs="Arial Bold"/>
          <w:bCs w:val="0"/>
        </w:rPr>
        <w:t xml:space="preserve"> new facility</w:t>
      </w:r>
      <w:r>
        <w:rPr>
          <w:rFonts w:eastAsia="SimSun" w:hAnsi="Arial Bold" w:cs="Arial Bold"/>
          <w:bCs w:val="0"/>
          <w:spacing w:val="-7"/>
        </w:rPr>
        <w:t xml:space="preserve"> </w:t>
      </w:r>
      <w:r>
        <w:rPr>
          <w:rFonts w:eastAsia="SimSun" w:hAnsi="Arial Bold" w:cs="Arial Bold"/>
          <w:bCs w:val="0"/>
        </w:rPr>
        <w:t>construction.</w:t>
      </w:r>
    </w:p>
    <w:p w14:paraId="48A0552B" w14:textId="77777777" w:rsidR="00DE4674" w:rsidRPr="00AC762D" w:rsidRDefault="00DE4674" w:rsidP="00DE4674">
      <w:pPr>
        <w:topLinePunct/>
        <w:textAlignment w:val="top"/>
        <w:rPr>
          <w:shd w:val="clear" w:color="auto" w:fill="FFFFFF"/>
          <w:lang w:eastAsia="zh-CN"/>
        </w:rPr>
      </w:pPr>
      <w:r w:rsidRPr="00AC762D">
        <w:rPr>
          <w:shd w:val="clear" w:color="auto" w:fill="FFFFFF"/>
          <w:lang w:eastAsia="zh-CN"/>
        </w:rPr>
        <w:t>As of August 2022, populations in MDC, BKDC and QDC have been relocated to facilities on Rikers Island and/or VCBC.</w:t>
      </w:r>
    </w:p>
    <w:p w14:paraId="403610F5" w14:textId="77777777" w:rsidR="0008303D" w:rsidRDefault="0008303D" w:rsidP="0008303D">
      <w:pPr>
        <w:topLinePunct/>
        <w:textAlignment w:val="top"/>
        <w:rPr>
          <w:rFonts w:eastAsia="SimSun" w:hAnsi="Arial Regular" w:cs="Arial Regular"/>
          <w:color w:val="FF0000"/>
          <w:shd w:val="clear" w:color="auto" w:fill="FFFFFF"/>
          <w:lang w:eastAsia="zh-CN" w:bidi="ar"/>
        </w:rPr>
      </w:pPr>
    </w:p>
    <w:p w14:paraId="3FE36081" w14:textId="77777777" w:rsidR="0079726C" w:rsidRDefault="0079726C" w:rsidP="0079726C">
      <w:pPr>
        <w:pStyle w:val="Heading1"/>
        <w:keepLines/>
        <w:tabs>
          <w:tab w:val="left" w:pos="321"/>
        </w:tabs>
        <w:topLinePunct/>
        <w:ind w:left="0"/>
        <w:textAlignment w:val="top"/>
        <w:rPr>
          <w:rFonts w:eastAsia="SimSun" w:hAnsi="Arial Bold" w:cs="Arial Bold"/>
          <w:bCs w:val="0"/>
        </w:rPr>
      </w:pPr>
      <w:r>
        <w:rPr>
          <w:rFonts w:eastAsia="SimSun" w:hAnsi="Arial Bold" w:cs="Arial Bold"/>
          <w:bCs w:val="0"/>
        </w:rPr>
        <w:t>8. The progress of implementing an electronic management system for individuals in</w:t>
      </w:r>
      <w:r>
        <w:rPr>
          <w:rFonts w:eastAsia="SimSun" w:hAnsi="Arial Bold" w:cs="Arial Bold"/>
          <w:bCs w:val="0"/>
          <w:spacing w:val="-19"/>
        </w:rPr>
        <w:t xml:space="preserve"> </w:t>
      </w:r>
      <w:r>
        <w:rPr>
          <w:rFonts w:eastAsia="SimSun" w:hAnsi="Arial Bold" w:cs="Arial Bold"/>
          <w:bCs w:val="0"/>
        </w:rPr>
        <w:t>custody.</w:t>
      </w:r>
    </w:p>
    <w:p w14:paraId="6D713683" w14:textId="77777777" w:rsidR="00DE4674" w:rsidRPr="00AC762D" w:rsidRDefault="00DE4674" w:rsidP="00DE4674">
      <w:pPr>
        <w:keepLines/>
        <w:topLinePunct/>
        <w:textAlignment w:val="top"/>
      </w:pPr>
      <w:r w:rsidRPr="00AC762D">
        <w:t>A new electronic management system has been selected and is in the procurement phase at this time.</w:t>
      </w:r>
    </w:p>
    <w:p w14:paraId="2AAC7836" w14:textId="77777777" w:rsidR="00C910F0" w:rsidRDefault="00C910F0" w:rsidP="00C910F0">
      <w:pPr>
        <w:keepLines/>
        <w:topLinePunct/>
        <w:textAlignment w:val="top"/>
        <w:rPr>
          <w:rFonts w:eastAsia="SimSun" w:hAnsi="Arial Regular" w:cs="Arial Regular"/>
        </w:rPr>
      </w:pPr>
    </w:p>
    <w:p w14:paraId="105B651A" w14:textId="11BF2338" w:rsidR="0079726C" w:rsidRDefault="0079726C" w:rsidP="0079726C">
      <w:pPr>
        <w:pStyle w:val="BodyText"/>
        <w:keepLines/>
        <w:topLinePunct/>
        <w:textAlignment w:val="top"/>
        <w:rPr>
          <w:rFonts w:eastAsia="SimSun" w:hAnsi="Arial Bold" w:cs="Arial Bold"/>
          <w:b/>
        </w:rPr>
      </w:pPr>
      <w:bookmarkStart w:id="1" w:name="_Hlk96524359"/>
      <w:r>
        <w:rPr>
          <w:rFonts w:eastAsia="SimSun" w:hAnsi="Arial Bold" w:cs="Arial Bold"/>
          <w:b/>
        </w:rPr>
        <w:lastRenderedPageBreak/>
        <w:t>9. Staff</w:t>
      </w:r>
      <w:r>
        <w:rPr>
          <w:rFonts w:eastAsia="SimSun" w:hAnsi="Arial Bold" w:cs="Arial Bold"/>
          <w:b/>
          <w:spacing w:val="-11"/>
        </w:rPr>
        <w:t xml:space="preserve"> </w:t>
      </w:r>
      <w:r>
        <w:rPr>
          <w:rFonts w:eastAsia="SimSun" w:hAnsi="Arial Bold" w:cs="Arial Bold"/>
          <w:b/>
        </w:rPr>
        <w:t>plans,</w:t>
      </w:r>
      <w:r>
        <w:rPr>
          <w:rFonts w:eastAsia="SimSun" w:hAnsi="Arial Bold" w:cs="Arial Bold"/>
          <w:b/>
          <w:spacing w:val="-9"/>
        </w:rPr>
        <w:t xml:space="preserve"> </w:t>
      </w:r>
      <w:r>
        <w:rPr>
          <w:rFonts w:eastAsia="SimSun" w:hAnsi="Arial Bold" w:cs="Arial Bold"/>
          <w:b/>
        </w:rPr>
        <w:t>by</w:t>
      </w:r>
      <w:r>
        <w:rPr>
          <w:rFonts w:eastAsia="SimSun" w:hAnsi="Arial Bold" w:cs="Arial Bold"/>
          <w:b/>
          <w:spacing w:val="-9"/>
        </w:rPr>
        <w:t xml:space="preserve"> </w:t>
      </w:r>
      <w:r>
        <w:rPr>
          <w:rFonts w:eastAsia="SimSun" w:hAnsi="Arial Bold" w:cs="Arial Bold"/>
          <w:b/>
        </w:rPr>
        <w:t>facility,</w:t>
      </w:r>
      <w:r>
        <w:rPr>
          <w:rFonts w:eastAsia="SimSun" w:hAnsi="Arial Bold" w:cs="Arial Bold"/>
          <w:b/>
          <w:spacing w:val="-9"/>
        </w:rPr>
        <w:t xml:space="preserve"> </w:t>
      </w:r>
      <w:r>
        <w:rPr>
          <w:rFonts w:eastAsia="SimSun" w:hAnsi="Arial Bold" w:cs="Arial Bold"/>
          <w:b/>
        </w:rPr>
        <w:t>including</w:t>
      </w:r>
      <w:r>
        <w:rPr>
          <w:rFonts w:eastAsia="SimSun" w:hAnsi="Arial Bold" w:cs="Arial Bold"/>
          <w:b/>
          <w:spacing w:val="-9"/>
        </w:rPr>
        <w:t xml:space="preserve"> </w:t>
      </w:r>
      <w:r>
        <w:rPr>
          <w:rFonts w:eastAsia="SimSun" w:hAnsi="Arial Bold" w:cs="Arial Bold"/>
          <w:b/>
        </w:rPr>
        <w:t>but</w:t>
      </w:r>
      <w:r>
        <w:rPr>
          <w:rFonts w:eastAsia="SimSun" w:hAnsi="Arial Bold" w:cs="Arial Bold"/>
          <w:b/>
          <w:spacing w:val="-10"/>
        </w:rPr>
        <w:t xml:space="preserve"> </w:t>
      </w:r>
      <w:r>
        <w:rPr>
          <w:rFonts w:eastAsia="SimSun" w:hAnsi="Arial Bold" w:cs="Arial Bold"/>
          <w:b/>
        </w:rPr>
        <w:t>not</w:t>
      </w:r>
      <w:r>
        <w:rPr>
          <w:rFonts w:eastAsia="SimSun" w:hAnsi="Arial Bold" w:cs="Arial Bold"/>
          <w:b/>
          <w:spacing w:val="-9"/>
        </w:rPr>
        <w:t xml:space="preserve"> </w:t>
      </w:r>
      <w:r>
        <w:rPr>
          <w:rFonts w:eastAsia="SimSun" w:hAnsi="Arial Bold" w:cs="Arial Bold"/>
          <w:b/>
        </w:rPr>
        <w:t>limited</w:t>
      </w:r>
      <w:r>
        <w:rPr>
          <w:rFonts w:eastAsia="SimSun" w:hAnsi="Arial Bold" w:cs="Arial Bold"/>
          <w:b/>
          <w:spacing w:val="-11"/>
        </w:rPr>
        <w:t xml:space="preserve"> </w:t>
      </w:r>
      <w:r>
        <w:rPr>
          <w:rFonts w:eastAsia="SimSun" w:hAnsi="Arial Bold" w:cs="Arial Bold"/>
          <w:b/>
        </w:rPr>
        <w:t>to</w:t>
      </w:r>
      <w:r>
        <w:rPr>
          <w:rFonts w:eastAsia="SimSun" w:hAnsi="Arial Bold" w:cs="Arial Bold"/>
          <w:b/>
          <w:spacing w:val="-11"/>
        </w:rPr>
        <w:t xml:space="preserve"> </w:t>
      </w:r>
      <w:r>
        <w:rPr>
          <w:rFonts w:eastAsia="SimSun" w:hAnsi="Arial Bold" w:cs="Arial Bold"/>
          <w:b/>
        </w:rPr>
        <w:t>the</w:t>
      </w:r>
      <w:r>
        <w:rPr>
          <w:rFonts w:eastAsia="SimSun" w:hAnsi="Arial Bold" w:cs="Arial Bold"/>
          <w:b/>
          <w:spacing w:val="-11"/>
        </w:rPr>
        <w:t xml:space="preserve"> </w:t>
      </w:r>
      <w:r>
        <w:rPr>
          <w:rFonts w:eastAsia="SimSun" w:hAnsi="Arial Bold" w:cs="Arial Bold"/>
          <w:b/>
        </w:rPr>
        <w:t>following</w:t>
      </w:r>
      <w:r>
        <w:rPr>
          <w:rFonts w:eastAsia="SimSun" w:hAnsi="Arial Bold" w:cs="Arial Bold"/>
          <w:b/>
          <w:spacing w:val="-8"/>
        </w:rPr>
        <w:t xml:space="preserve"> </w:t>
      </w:r>
      <w:r>
        <w:rPr>
          <w:rFonts w:eastAsia="SimSun" w:hAnsi="Arial Bold" w:cs="Arial Bold"/>
          <w:b/>
        </w:rPr>
        <w:t>information</w:t>
      </w:r>
      <w:r>
        <w:rPr>
          <w:rFonts w:eastAsia="SimSun" w:hAnsi="Arial Bold" w:cs="Arial Bold"/>
          <w:b/>
          <w:spacing w:val="-11"/>
        </w:rPr>
        <w:t xml:space="preserve"> </w:t>
      </w:r>
      <w:r>
        <w:rPr>
          <w:rFonts w:eastAsia="SimSun" w:hAnsi="Arial Bold" w:cs="Arial Bold"/>
          <w:b/>
        </w:rPr>
        <w:t>for</w:t>
      </w:r>
      <w:r>
        <w:rPr>
          <w:rFonts w:eastAsia="SimSun" w:hAnsi="Arial Bold" w:cs="Arial Bold"/>
          <w:b/>
          <w:spacing w:val="-9"/>
        </w:rPr>
        <w:t xml:space="preserve"> </w:t>
      </w:r>
      <w:r>
        <w:rPr>
          <w:rFonts w:eastAsia="SimSun" w:hAnsi="Arial Bold" w:cs="Arial Bold"/>
          <w:b/>
        </w:rPr>
        <w:t>the</w:t>
      </w:r>
      <w:r>
        <w:rPr>
          <w:rFonts w:eastAsia="SimSun" w:hAnsi="Arial Bold" w:cs="Arial Bold"/>
          <w:b/>
          <w:spacing w:val="-11"/>
        </w:rPr>
        <w:t xml:space="preserve"> </w:t>
      </w:r>
      <w:r>
        <w:rPr>
          <w:rFonts w:eastAsia="SimSun" w:hAnsi="Arial Bold" w:cs="Arial Bold"/>
          <w:b/>
        </w:rPr>
        <w:t>reporting</w:t>
      </w:r>
      <w:r>
        <w:rPr>
          <w:rFonts w:eastAsia="SimSun" w:hAnsi="Arial Bold" w:cs="Arial Bold"/>
          <w:b/>
          <w:spacing w:val="-9"/>
        </w:rPr>
        <w:t xml:space="preserve"> </w:t>
      </w:r>
      <w:r>
        <w:rPr>
          <w:rFonts w:eastAsia="SimSun" w:hAnsi="Arial Bold" w:cs="Arial Bold"/>
          <w:b/>
        </w:rPr>
        <w:t>period: the</w:t>
      </w:r>
      <w:r>
        <w:rPr>
          <w:rFonts w:eastAsia="SimSun" w:hAnsi="Arial Bold" w:cs="Arial Bold"/>
          <w:b/>
          <w:spacing w:val="-8"/>
        </w:rPr>
        <w:t xml:space="preserve"> </w:t>
      </w:r>
      <w:r>
        <w:rPr>
          <w:rFonts w:eastAsia="SimSun" w:hAnsi="Arial Bold" w:cs="Arial Bold"/>
          <w:b/>
        </w:rPr>
        <w:t>number</w:t>
      </w:r>
      <w:r>
        <w:rPr>
          <w:rFonts w:eastAsia="SimSun" w:hAnsi="Arial Bold" w:cs="Arial Bold"/>
          <w:b/>
          <w:spacing w:val="-7"/>
        </w:rPr>
        <w:t xml:space="preserve"> </w:t>
      </w:r>
      <w:r>
        <w:rPr>
          <w:rFonts w:eastAsia="SimSun" w:hAnsi="Arial Bold" w:cs="Arial Bold"/>
          <w:b/>
        </w:rPr>
        <w:t>of</w:t>
      </w:r>
      <w:r>
        <w:rPr>
          <w:rFonts w:eastAsia="SimSun" w:hAnsi="Arial Bold" w:cs="Arial Bold"/>
          <w:b/>
          <w:spacing w:val="-9"/>
        </w:rPr>
        <w:t xml:space="preserve"> </w:t>
      </w:r>
      <w:r>
        <w:rPr>
          <w:rFonts w:eastAsia="SimSun" w:hAnsi="Arial Bold" w:cs="Arial Bold"/>
          <w:b/>
        </w:rPr>
        <w:t>uniform</w:t>
      </w:r>
      <w:r>
        <w:rPr>
          <w:rFonts w:eastAsia="SimSun" w:hAnsi="Arial Bold" w:cs="Arial Bold"/>
          <w:b/>
          <w:spacing w:val="-7"/>
        </w:rPr>
        <w:t xml:space="preserve"> </w:t>
      </w:r>
      <w:r>
        <w:rPr>
          <w:rFonts w:eastAsia="SimSun" w:hAnsi="Arial Bold" w:cs="Arial Bold"/>
          <w:b/>
          <w:spacing w:val="-2"/>
        </w:rPr>
        <w:t>and</w:t>
      </w:r>
      <w:r>
        <w:rPr>
          <w:rFonts w:eastAsia="SimSun" w:hAnsi="Arial Bold" w:cs="Arial Bold"/>
          <w:b/>
          <w:spacing w:val="-7"/>
        </w:rPr>
        <w:t xml:space="preserve"> </w:t>
      </w:r>
      <w:r>
        <w:rPr>
          <w:rFonts w:eastAsia="SimSun" w:hAnsi="Arial Bold" w:cs="Arial Bold"/>
          <w:b/>
        </w:rPr>
        <w:t>civilian</w:t>
      </w:r>
      <w:r>
        <w:rPr>
          <w:rFonts w:eastAsia="SimSun" w:hAnsi="Arial Bold" w:cs="Arial Bold"/>
          <w:b/>
          <w:spacing w:val="-8"/>
        </w:rPr>
        <w:t xml:space="preserve"> </w:t>
      </w:r>
      <w:r>
        <w:rPr>
          <w:rFonts w:eastAsia="SimSun" w:hAnsi="Arial Bold" w:cs="Arial Bold"/>
          <w:b/>
        </w:rPr>
        <w:t>staff</w:t>
      </w:r>
      <w:r>
        <w:rPr>
          <w:rFonts w:eastAsia="SimSun" w:hAnsi="Arial Bold" w:cs="Arial Bold"/>
          <w:b/>
          <w:spacing w:val="-7"/>
        </w:rPr>
        <w:t xml:space="preserve"> </w:t>
      </w:r>
      <w:r>
        <w:rPr>
          <w:rFonts w:eastAsia="SimSun" w:hAnsi="Arial Bold" w:cs="Arial Bold"/>
          <w:b/>
        </w:rPr>
        <w:t>hired,</w:t>
      </w:r>
      <w:r>
        <w:rPr>
          <w:rFonts w:eastAsia="SimSun" w:hAnsi="Arial Bold" w:cs="Arial Bold"/>
          <w:b/>
          <w:spacing w:val="-9"/>
        </w:rPr>
        <w:t xml:space="preserve"> </w:t>
      </w:r>
      <w:r>
        <w:rPr>
          <w:rFonts w:eastAsia="SimSun" w:hAnsi="Arial Bold" w:cs="Arial Bold"/>
          <w:b/>
        </w:rPr>
        <w:t>the</w:t>
      </w:r>
      <w:r>
        <w:rPr>
          <w:rFonts w:eastAsia="SimSun" w:hAnsi="Arial Bold" w:cs="Arial Bold"/>
          <w:b/>
          <w:spacing w:val="-8"/>
        </w:rPr>
        <w:t xml:space="preserve"> </w:t>
      </w:r>
      <w:r>
        <w:rPr>
          <w:rFonts w:eastAsia="SimSun" w:hAnsi="Arial Bold" w:cs="Arial Bold"/>
          <w:b/>
        </w:rPr>
        <w:t>number</w:t>
      </w:r>
      <w:r>
        <w:rPr>
          <w:rFonts w:eastAsia="SimSun" w:hAnsi="Arial Bold" w:cs="Arial Bold"/>
          <w:b/>
          <w:spacing w:val="-6"/>
        </w:rPr>
        <w:t xml:space="preserve"> </w:t>
      </w:r>
      <w:r>
        <w:rPr>
          <w:rFonts w:eastAsia="SimSun" w:hAnsi="Arial Bold" w:cs="Arial Bold"/>
          <w:b/>
        </w:rPr>
        <w:t>of</w:t>
      </w:r>
      <w:r>
        <w:rPr>
          <w:rFonts w:eastAsia="SimSun" w:hAnsi="Arial Bold" w:cs="Arial Bold"/>
          <w:b/>
          <w:spacing w:val="-8"/>
        </w:rPr>
        <w:t xml:space="preserve"> </w:t>
      </w:r>
      <w:r>
        <w:rPr>
          <w:rFonts w:eastAsia="SimSun" w:hAnsi="Arial Bold" w:cs="Arial Bold"/>
          <w:b/>
        </w:rPr>
        <w:t>uniform</w:t>
      </w:r>
      <w:r>
        <w:rPr>
          <w:rFonts w:eastAsia="SimSun" w:hAnsi="Arial Bold" w:cs="Arial Bold"/>
          <w:b/>
          <w:spacing w:val="-9"/>
        </w:rPr>
        <w:t xml:space="preserve"> </w:t>
      </w:r>
      <w:r>
        <w:rPr>
          <w:rFonts w:eastAsia="SimSun" w:hAnsi="Arial Bold" w:cs="Arial Bold"/>
          <w:b/>
        </w:rPr>
        <w:t>and</w:t>
      </w:r>
      <w:r>
        <w:rPr>
          <w:rFonts w:eastAsia="SimSun" w:hAnsi="Arial Bold" w:cs="Arial Bold"/>
          <w:b/>
          <w:spacing w:val="-11"/>
        </w:rPr>
        <w:t xml:space="preserve"> </w:t>
      </w:r>
      <w:r>
        <w:rPr>
          <w:rFonts w:eastAsia="SimSun" w:hAnsi="Arial Bold" w:cs="Arial Bold"/>
          <w:b/>
        </w:rPr>
        <w:t>civilian</w:t>
      </w:r>
      <w:r>
        <w:rPr>
          <w:rFonts w:eastAsia="SimSun" w:hAnsi="Arial Bold" w:cs="Arial Bold"/>
          <w:b/>
          <w:spacing w:val="-7"/>
        </w:rPr>
        <w:t xml:space="preserve"> </w:t>
      </w:r>
      <w:r>
        <w:rPr>
          <w:rFonts w:eastAsia="SimSun" w:hAnsi="Arial Bold" w:cs="Arial Bold"/>
          <w:b/>
        </w:rPr>
        <w:t>staff</w:t>
      </w:r>
      <w:r>
        <w:rPr>
          <w:rFonts w:eastAsia="SimSun" w:hAnsi="Arial Bold" w:cs="Arial Bold"/>
          <w:b/>
          <w:spacing w:val="-10"/>
        </w:rPr>
        <w:t xml:space="preserve"> </w:t>
      </w:r>
      <w:r>
        <w:rPr>
          <w:rFonts w:eastAsia="SimSun" w:hAnsi="Arial Bold" w:cs="Arial Bold"/>
          <w:b/>
        </w:rPr>
        <w:t>terminated,</w:t>
      </w:r>
      <w:r>
        <w:rPr>
          <w:rFonts w:eastAsia="SimSun" w:hAnsi="Arial Bold" w:cs="Arial Bold"/>
          <w:b/>
          <w:spacing w:val="-8"/>
        </w:rPr>
        <w:t xml:space="preserve"> </w:t>
      </w:r>
      <w:r>
        <w:rPr>
          <w:rFonts w:eastAsia="SimSun" w:hAnsi="Arial Bold" w:cs="Arial Bold"/>
          <w:b/>
        </w:rPr>
        <w:t xml:space="preserve">and the number of uniform </w:t>
      </w:r>
      <w:r>
        <w:rPr>
          <w:rFonts w:eastAsia="SimSun" w:hAnsi="Arial Bold" w:cs="Arial Bold"/>
          <w:b/>
          <w:spacing w:val="-2"/>
        </w:rPr>
        <w:t xml:space="preserve">and </w:t>
      </w:r>
      <w:r>
        <w:rPr>
          <w:rFonts w:eastAsia="SimSun" w:hAnsi="Arial Bold" w:cs="Arial Bold"/>
          <w:b/>
        </w:rPr>
        <w:t xml:space="preserve">civilian staff who left the department for reasons other than termination. </w:t>
      </w:r>
    </w:p>
    <w:bookmarkEnd w:id="1"/>
    <w:p w14:paraId="21133BC7" w14:textId="482BE089" w:rsidR="00DE4674" w:rsidRPr="00AC762D" w:rsidRDefault="00DE4674" w:rsidP="00DE4674">
      <w:pPr>
        <w:pStyle w:val="BodyText"/>
        <w:keepLines/>
        <w:topLinePunct/>
        <w:textAlignment w:val="top"/>
        <w:rPr>
          <w:rFonts w:eastAsia="SimSun" w:hAnsi="Arial Regular" w:cs="Arial Regular"/>
        </w:rPr>
      </w:pPr>
      <w:r w:rsidRPr="00AC762D">
        <w:rPr>
          <w:rFonts w:eastAsia="SimSun" w:hAnsi="Arial Regular" w:cs="Arial Regular"/>
        </w:rPr>
        <w:t>From January</w:t>
      </w:r>
      <w:r>
        <w:rPr>
          <w:rFonts w:eastAsia="SimSun" w:hAnsi="Arial Regular" w:cs="Arial Regular"/>
        </w:rPr>
        <w:t xml:space="preserve"> 1,</w:t>
      </w:r>
      <w:r w:rsidRPr="00AC762D">
        <w:rPr>
          <w:rFonts w:eastAsia="SimSun" w:hAnsi="Arial Regular" w:cs="Arial Regular"/>
        </w:rPr>
        <w:t xml:space="preserve"> </w:t>
      </w:r>
      <w:r w:rsidR="00337923" w:rsidRPr="00AC762D">
        <w:rPr>
          <w:rFonts w:eastAsia="SimSun" w:hAnsi="Arial Regular" w:cs="Arial Regular"/>
        </w:rPr>
        <w:t>202</w:t>
      </w:r>
      <w:r w:rsidR="00337923">
        <w:rPr>
          <w:rFonts w:eastAsia="SimSun" w:hAnsi="Arial Regular" w:cs="Arial Regular"/>
        </w:rPr>
        <w:t>3,</w:t>
      </w:r>
      <w:r w:rsidRPr="00AC762D">
        <w:rPr>
          <w:rFonts w:eastAsia="SimSun" w:hAnsi="Arial Regular" w:cs="Arial Regular"/>
        </w:rPr>
        <w:t xml:space="preserve"> through </w:t>
      </w:r>
      <w:r>
        <w:rPr>
          <w:rFonts w:eastAsia="SimSun" w:hAnsi="Arial Regular" w:cs="Arial Regular"/>
        </w:rPr>
        <w:t>June 30,</w:t>
      </w:r>
      <w:r w:rsidRPr="00AC762D">
        <w:rPr>
          <w:rFonts w:eastAsia="SimSun" w:hAnsi="Arial Regular" w:cs="Arial Regular"/>
        </w:rPr>
        <w:t xml:space="preserve"> 202</w:t>
      </w:r>
      <w:r>
        <w:rPr>
          <w:rFonts w:eastAsia="SimSun" w:hAnsi="Arial Regular" w:cs="Arial Regular"/>
        </w:rPr>
        <w:t>3</w:t>
      </w:r>
      <w:r w:rsidRPr="00AC762D">
        <w:rPr>
          <w:rFonts w:eastAsia="SimSun" w:hAnsi="Arial Regular" w:cs="Arial Regular"/>
        </w:rPr>
        <w:t xml:space="preserve">, the Department hired </w:t>
      </w:r>
      <w:r>
        <w:rPr>
          <w:rFonts w:eastAsia="SimSun" w:hAnsi="Arial Regular" w:cs="Arial Regular"/>
        </w:rPr>
        <w:t>172</w:t>
      </w:r>
      <w:r w:rsidRPr="00AC762D">
        <w:rPr>
          <w:rFonts w:eastAsia="SimSun" w:hAnsi="Arial Regular" w:cs="Arial Regular"/>
        </w:rPr>
        <w:t xml:space="preserve"> civilian staff members and </w:t>
      </w:r>
      <w:r>
        <w:rPr>
          <w:rFonts w:eastAsia="SimSun" w:hAnsi="Arial Regular" w:cs="Arial Regular"/>
        </w:rPr>
        <w:t>99</w:t>
      </w:r>
      <w:r w:rsidRPr="00AC762D">
        <w:rPr>
          <w:rFonts w:eastAsia="SimSun" w:hAnsi="Arial Regular" w:cs="Arial Regular"/>
        </w:rPr>
        <w:t xml:space="preserve"> members of uniform staff.</w:t>
      </w:r>
    </w:p>
    <w:p w14:paraId="79E90C71" w14:textId="77777777" w:rsidR="00DE4674" w:rsidRPr="00AC762D" w:rsidRDefault="00DE4674" w:rsidP="00DE4674">
      <w:pPr>
        <w:pStyle w:val="BodyText"/>
        <w:keepLines/>
        <w:topLinePunct/>
        <w:textAlignment w:val="top"/>
        <w:rPr>
          <w:rFonts w:eastAsia="SimSun" w:hAnsi="Arial Regular" w:cs="Arial Regular"/>
        </w:rPr>
      </w:pPr>
      <w:r w:rsidRPr="00AC762D">
        <w:rPr>
          <w:rFonts w:eastAsia="SimSun" w:hAnsi="Arial Regular" w:cs="Arial Regular"/>
        </w:rPr>
        <w:t xml:space="preserve">During this period, </w:t>
      </w:r>
      <w:r>
        <w:rPr>
          <w:rFonts w:eastAsia="SimSun" w:hAnsi="Arial Regular" w:cs="Arial Regular"/>
        </w:rPr>
        <w:t>1</w:t>
      </w:r>
      <w:r w:rsidRPr="00AC762D">
        <w:rPr>
          <w:rFonts w:eastAsia="SimSun" w:hAnsi="Arial Regular" w:cs="Arial Regular"/>
        </w:rPr>
        <w:t xml:space="preserve">0 civilian staff members were terminated, and </w:t>
      </w:r>
      <w:r>
        <w:rPr>
          <w:rFonts w:eastAsia="SimSun" w:hAnsi="Arial Regular" w:cs="Arial Regular"/>
        </w:rPr>
        <w:t>109</w:t>
      </w:r>
      <w:r w:rsidRPr="00AC762D">
        <w:rPr>
          <w:rFonts w:eastAsia="SimSun" w:hAnsi="Arial Regular" w:cs="Arial Regular"/>
        </w:rPr>
        <w:t xml:space="preserve"> civilian staff left for other reasons. During this period, 1</w:t>
      </w:r>
      <w:r>
        <w:rPr>
          <w:rFonts w:eastAsia="SimSun" w:hAnsi="Arial Regular" w:cs="Arial Regular"/>
        </w:rPr>
        <w:t>10</w:t>
      </w:r>
      <w:r w:rsidRPr="00AC762D">
        <w:rPr>
          <w:rFonts w:eastAsia="SimSun" w:hAnsi="Arial Regular" w:cs="Arial Regular"/>
        </w:rPr>
        <w:t xml:space="preserve"> uniform staff members were terminated, and </w:t>
      </w:r>
      <w:r>
        <w:rPr>
          <w:rFonts w:eastAsia="SimSun" w:hAnsi="Arial Regular" w:cs="Arial Regular"/>
        </w:rPr>
        <w:t>300</w:t>
      </w:r>
      <w:r w:rsidRPr="00AC762D">
        <w:rPr>
          <w:rFonts w:eastAsia="SimSun" w:hAnsi="Arial Regular" w:cs="Arial Regular"/>
        </w:rPr>
        <w:t xml:space="preserve"> uniform staff members left for other reasons. Included in the </w:t>
      </w:r>
      <w:r>
        <w:rPr>
          <w:rFonts w:eastAsia="SimSun" w:hAnsi="Arial Regular" w:cs="Arial Regular"/>
        </w:rPr>
        <w:t>300</w:t>
      </w:r>
      <w:r w:rsidRPr="00AC762D">
        <w:rPr>
          <w:rFonts w:eastAsia="SimSun" w:hAnsi="Arial Regular" w:cs="Arial Regular"/>
        </w:rPr>
        <w:t xml:space="preserve"> figure are members of staff who left for reasons including but not limited to resignation, retirement, death, and dismissal under charges or medical disabilities.</w:t>
      </w:r>
    </w:p>
    <w:p w14:paraId="7905EEA8" w14:textId="37570979" w:rsidR="00D7366F" w:rsidRPr="00AC762D" w:rsidRDefault="00D7366F" w:rsidP="00DE4674">
      <w:pPr>
        <w:pStyle w:val="BodyText"/>
        <w:keepLines/>
        <w:topLinePunct/>
        <w:textAlignment w:val="top"/>
        <w:rPr>
          <w:rFonts w:eastAsia="SimSun" w:hAnsi="Arial Regular" w:cs="Arial Regular"/>
        </w:rPr>
      </w:pPr>
    </w:p>
    <w:sectPr w:rsidR="00D7366F" w:rsidRPr="00AC762D">
      <w:footerReference w:type="default" r:id="rId10"/>
      <w:pgSz w:w="12240" w:h="15840"/>
      <w:pgMar w:top="1440" w:right="1800" w:bottom="1440" w:left="18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E174" w14:textId="77777777" w:rsidR="00B7510F" w:rsidRDefault="00CE5570">
      <w:pPr>
        <w:spacing w:after="0" w:line="240" w:lineRule="auto"/>
      </w:pPr>
      <w:r>
        <w:separator/>
      </w:r>
    </w:p>
  </w:endnote>
  <w:endnote w:type="continuationSeparator" w:id="0">
    <w:p w14:paraId="7240E1E2" w14:textId="77777777" w:rsidR="00B7510F" w:rsidRDefault="00CE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auto"/>
    <w:pitch w:val="default"/>
    <w:sig w:usb0="E0000AFF" w:usb1="00007843" w:usb2="00000001" w:usb3="00000000" w:csb0="400001BF" w:csb1="DFF70000"/>
  </w:font>
  <w:font w:name="Arial">
    <w:panose1 w:val="020B0604020202020204"/>
    <w:charset w:val="00"/>
    <w:family w:val="swiss"/>
    <w:pitch w:val="variable"/>
    <w:sig w:usb0="E0002EFF" w:usb1="C000785B" w:usb2="00000009" w:usb3="00000000" w:csb0="000001FF" w:csb1="00000000"/>
  </w:font>
  <w:font w:name="Arial Regular">
    <w:altName w:val="Arial"/>
    <w:charset w:val="00"/>
    <w:family w:val="auto"/>
    <w:pitch w:val="default"/>
    <w:sig w:usb0="00000000" w:usb1="00007843" w:usb2="00000001" w:usb3="00000000" w:csb0="400001BF" w:csb1="DFF70000"/>
  </w:font>
  <w:font w:name="wf_segoe-ui_normal">
    <w:altName w:val="Malgun Gothic Semilight"/>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4903" w14:textId="77777777" w:rsidR="00337923" w:rsidRDefault="00A559E5">
    <w:pPr>
      <w:pStyle w:val="Footer"/>
    </w:pPr>
    <w:r>
      <w:rPr>
        <w:noProof/>
      </w:rPr>
      <mc:AlternateContent>
        <mc:Choice Requires="wps">
          <w:drawing>
            <wp:anchor distT="0" distB="0" distL="114300" distR="114300" simplePos="0" relativeHeight="251659264" behindDoc="0" locked="0" layoutInCell="1" allowOverlap="1" wp14:anchorId="2A96172D" wp14:editId="5B03D5D0">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14:paraId="6D26913E" w14:textId="77777777" w:rsidR="00337923" w:rsidRDefault="00A559E5">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vert="horz" wrap="none" lIns="0" tIns="0" rIns="0" bIns="0" anchor="t" anchorCtr="0" upright="1">
                      <a:spAutoFit/>
                    </wps:bodyPr>
                  </wps:wsp>
                </a:graphicData>
              </a:graphic>
            </wp:anchor>
          </w:drawing>
        </mc:Choice>
        <mc:Fallback>
          <w:pict>
            <v:shapetype w14:anchorId="2A96172D"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IlmIVKxAQAAYAMAAA4AAAAAAAAAAAAAAAAALgIAAGRycy9lMm9Eb2MueG1sUEsBAi0A&#10;FAAGAAgAAAAhAAxK8O7WAAAABQEAAA8AAAAAAAAAAAAAAAAACwQAAGRycy9kb3ducmV2LnhtbFBL&#10;BQYAAAAABAAEAPMAAAAOBQAAAAA=&#10;" filled="f" stroked="f">
              <v:textbox style="mso-fit-shape-to-text:t" inset="0,0,0,0">
                <w:txbxContent>
                  <w:p w14:paraId="6D26913E" w14:textId="77777777" w:rsidR="00B8308B" w:rsidRDefault="00A559E5">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D4C0" w14:textId="77777777" w:rsidR="00B7510F" w:rsidRDefault="00CE5570">
      <w:pPr>
        <w:spacing w:after="0" w:line="240" w:lineRule="auto"/>
      </w:pPr>
      <w:r>
        <w:separator/>
      </w:r>
    </w:p>
  </w:footnote>
  <w:footnote w:type="continuationSeparator" w:id="0">
    <w:p w14:paraId="64E13F72" w14:textId="77777777" w:rsidR="00B7510F" w:rsidRDefault="00CE5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6C"/>
    <w:rsid w:val="00024ED9"/>
    <w:rsid w:val="00035989"/>
    <w:rsid w:val="00054805"/>
    <w:rsid w:val="000811E4"/>
    <w:rsid w:val="00081EBF"/>
    <w:rsid w:val="0008303D"/>
    <w:rsid w:val="000A6B17"/>
    <w:rsid w:val="000D6DB0"/>
    <w:rsid w:val="00103DD8"/>
    <w:rsid w:val="00156B01"/>
    <w:rsid w:val="001605D9"/>
    <w:rsid w:val="00233EA9"/>
    <w:rsid w:val="0023628D"/>
    <w:rsid w:val="002444CE"/>
    <w:rsid w:val="00275EBE"/>
    <w:rsid w:val="002839C7"/>
    <w:rsid w:val="002E276F"/>
    <w:rsid w:val="002E36AC"/>
    <w:rsid w:val="00302125"/>
    <w:rsid w:val="00337923"/>
    <w:rsid w:val="00386477"/>
    <w:rsid w:val="003A70AF"/>
    <w:rsid w:val="003B1DBC"/>
    <w:rsid w:val="0040155A"/>
    <w:rsid w:val="00497CF9"/>
    <w:rsid w:val="004F00B4"/>
    <w:rsid w:val="00586761"/>
    <w:rsid w:val="005B5EB7"/>
    <w:rsid w:val="005C6377"/>
    <w:rsid w:val="0061123D"/>
    <w:rsid w:val="00657EE2"/>
    <w:rsid w:val="006610A9"/>
    <w:rsid w:val="00664019"/>
    <w:rsid w:val="006C66B5"/>
    <w:rsid w:val="006F6E48"/>
    <w:rsid w:val="007210EF"/>
    <w:rsid w:val="007271CC"/>
    <w:rsid w:val="00753BC1"/>
    <w:rsid w:val="0079726C"/>
    <w:rsid w:val="007A28ED"/>
    <w:rsid w:val="007C7CD5"/>
    <w:rsid w:val="007E1495"/>
    <w:rsid w:val="00827682"/>
    <w:rsid w:val="008A4769"/>
    <w:rsid w:val="00952D5A"/>
    <w:rsid w:val="00956750"/>
    <w:rsid w:val="009B371D"/>
    <w:rsid w:val="009D5157"/>
    <w:rsid w:val="00A110BE"/>
    <w:rsid w:val="00A559E5"/>
    <w:rsid w:val="00AA406B"/>
    <w:rsid w:val="00AC762D"/>
    <w:rsid w:val="00AD55D9"/>
    <w:rsid w:val="00AF2FAA"/>
    <w:rsid w:val="00B1213A"/>
    <w:rsid w:val="00B338EE"/>
    <w:rsid w:val="00B3571D"/>
    <w:rsid w:val="00B7344B"/>
    <w:rsid w:val="00B7510F"/>
    <w:rsid w:val="00BF39BD"/>
    <w:rsid w:val="00C910F0"/>
    <w:rsid w:val="00CB6892"/>
    <w:rsid w:val="00CE3B01"/>
    <w:rsid w:val="00CE5570"/>
    <w:rsid w:val="00CE7E14"/>
    <w:rsid w:val="00CF5B62"/>
    <w:rsid w:val="00D13F81"/>
    <w:rsid w:val="00D353A1"/>
    <w:rsid w:val="00D7366F"/>
    <w:rsid w:val="00DD3F88"/>
    <w:rsid w:val="00DE4674"/>
    <w:rsid w:val="00E06A0C"/>
    <w:rsid w:val="00E23F0D"/>
    <w:rsid w:val="00E26A38"/>
    <w:rsid w:val="00E769BA"/>
    <w:rsid w:val="00EE3E6F"/>
    <w:rsid w:val="00EF0AD0"/>
    <w:rsid w:val="00F05F43"/>
    <w:rsid w:val="00F072F2"/>
    <w:rsid w:val="00F13D0C"/>
    <w:rsid w:val="00F17910"/>
    <w:rsid w:val="00F56EE7"/>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92F7"/>
  <w15:chartTrackingRefBased/>
  <w15:docId w15:val="{D3135C55-8F07-4962-BD18-9DC96094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726C"/>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1"/>
    <w:qFormat/>
    <w:rsid w:val="0079726C"/>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726C"/>
    <w:rPr>
      <w:rFonts w:ascii="Calibri" w:eastAsia="Calibri" w:hAnsi="Calibri" w:cs="Calibri"/>
      <w:b/>
      <w:bCs/>
      <w:lang w:bidi="en-US"/>
    </w:rPr>
  </w:style>
  <w:style w:type="paragraph" w:styleId="BodyText">
    <w:name w:val="Body Text"/>
    <w:basedOn w:val="Normal"/>
    <w:link w:val="BodyTextChar"/>
    <w:uiPriority w:val="1"/>
    <w:qFormat/>
    <w:rsid w:val="0079726C"/>
  </w:style>
  <w:style w:type="character" w:customStyle="1" w:styleId="BodyTextChar">
    <w:name w:val="Body Text Char"/>
    <w:basedOn w:val="DefaultParagraphFont"/>
    <w:link w:val="BodyText"/>
    <w:uiPriority w:val="1"/>
    <w:rsid w:val="0079726C"/>
    <w:rPr>
      <w:rFonts w:ascii="Calibri" w:eastAsia="Calibri" w:hAnsi="Calibri" w:cs="Calibri"/>
      <w:lang w:bidi="en-US"/>
    </w:rPr>
  </w:style>
  <w:style w:type="paragraph" w:styleId="Footer">
    <w:name w:val="footer"/>
    <w:basedOn w:val="Normal"/>
    <w:link w:val="FooterChar"/>
    <w:qFormat/>
    <w:rsid w:val="0079726C"/>
    <w:pPr>
      <w:tabs>
        <w:tab w:val="center" w:pos="4153"/>
        <w:tab w:val="right" w:pos="8306"/>
      </w:tabs>
      <w:snapToGrid w:val="0"/>
    </w:pPr>
    <w:rPr>
      <w:sz w:val="18"/>
      <w:szCs w:val="18"/>
    </w:rPr>
  </w:style>
  <w:style w:type="character" w:customStyle="1" w:styleId="FooterChar">
    <w:name w:val="Footer Char"/>
    <w:basedOn w:val="DefaultParagraphFont"/>
    <w:link w:val="Footer"/>
    <w:rsid w:val="0079726C"/>
    <w:rPr>
      <w:rFonts w:ascii="Calibri" w:eastAsia="Calibri" w:hAnsi="Calibri" w:cs="Calibri"/>
      <w:sz w:val="18"/>
      <w:szCs w:val="18"/>
      <w:lang w:bidi="en-US"/>
    </w:rPr>
  </w:style>
  <w:style w:type="paragraph" w:customStyle="1" w:styleId="ListParagraph1">
    <w:name w:val="List Paragraph1"/>
    <w:basedOn w:val="Normal"/>
    <w:uiPriority w:val="1"/>
    <w:qFormat/>
    <w:rsid w:val="0079726C"/>
    <w:pPr>
      <w:ind w:left="100"/>
    </w:pPr>
  </w:style>
  <w:style w:type="table" w:styleId="TableGrid">
    <w:name w:val="Table Grid"/>
    <w:basedOn w:val="TableNormal"/>
    <w:uiPriority w:val="39"/>
    <w:rsid w:val="00797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6DB0"/>
    <w:rPr>
      <w:sz w:val="16"/>
      <w:szCs w:val="16"/>
    </w:rPr>
  </w:style>
  <w:style w:type="paragraph" w:styleId="CommentText">
    <w:name w:val="annotation text"/>
    <w:basedOn w:val="Normal"/>
    <w:link w:val="CommentTextChar"/>
    <w:uiPriority w:val="99"/>
    <w:semiHidden/>
    <w:unhideWhenUsed/>
    <w:rsid w:val="000D6DB0"/>
    <w:pPr>
      <w:spacing w:line="240" w:lineRule="auto"/>
    </w:pPr>
    <w:rPr>
      <w:sz w:val="20"/>
      <w:szCs w:val="20"/>
    </w:rPr>
  </w:style>
  <w:style w:type="character" w:customStyle="1" w:styleId="CommentTextChar">
    <w:name w:val="Comment Text Char"/>
    <w:basedOn w:val="DefaultParagraphFont"/>
    <w:link w:val="CommentText"/>
    <w:uiPriority w:val="99"/>
    <w:semiHidden/>
    <w:rsid w:val="000D6DB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D6DB0"/>
    <w:rPr>
      <w:b/>
      <w:bCs/>
    </w:rPr>
  </w:style>
  <w:style w:type="character" w:customStyle="1" w:styleId="CommentSubjectChar">
    <w:name w:val="Comment Subject Char"/>
    <w:basedOn w:val="CommentTextChar"/>
    <w:link w:val="CommentSubject"/>
    <w:uiPriority w:val="99"/>
    <w:semiHidden/>
    <w:rsid w:val="000D6DB0"/>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576">
      <w:bodyDiv w:val="1"/>
      <w:marLeft w:val="0"/>
      <w:marRight w:val="0"/>
      <w:marTop w:val="0"/>
      <w:marBottom w:val="0"/>
      <w:divBdr>
        <w:top w:val="none" w:sz="0" w:space="0" w:color="auto"/>
        <w:left w:val="none" w:sz="0" w:space="0" w:color="auto"/>
        <w:bottom w:val="none" w:sz="0" w:space="0" w:color="auto"/>
        <w:right w:val="none" w:sz="0" w:space="0" w:color="auto"/>
      </w:divBdr>
    </w:div>
    <w:div w:id="222176564">
      <w:bodyDiv w:val="1"/>
      <w:marLeft w:val="0"/>
      <w:marRight w:val="0"/>
      <w:marTop w:val="0"/>
      <w:marBottom w:val="0"/>
      <w:divBdr>
        <w:top w:val="none" w:sz="0" w:space="0" w:color="auto"/>
        <w:left w:val="none" w:sz="0" w:space="0" w:color="auto"/>
        <w:bottom w:val="none" w:sz="0" w:space="0" w:color="auto"/>
        <w:right w:val="none" w:sz="0" w:space="0" w:color="auto"/>
      </w:divBdr>
    </w:div>
    <w:div w:id="384597862">
      <w:bodyDiv w:val="1"/>
      <w:marLeft w:val="0"/>
      <w:marRight w:val="0"/>
      <w:marTop w:val="0"/>
      <w:marBottom w:val="0"/>
      <w:divBdr>
        <w:top w:val="none" w:sz="0" w:space="0" w:color="auto"/>
        <w:left w:val="none" w:sz="0" w:space="0" w:color="auto"/>
        <w:bottom w:val="none" w:sz="0" w:space="0" w:color="auto"/>
        <w:right w:val="none" w:sz="0" w:space="0" w:color="auto"/>
      </w:divBdr>
    </w:div>
    <w:div w:id="458956458">
      <w:bodyDiv w:val="1"/>
      <w:marLeft w:val="0"/>
      <w:marRight w:val="0"/>
      <w:marTop w:val="0"/>
      <w:marBottom w:val="0"/>
      <w:divBdr>
        <w:top w:val="none" w:sz="0" w:space="0" w:color="auto"/>
        <w:left w:val="none" w:sz="0" w:space="0" w:color="auto"/>
        <w:bottom w:val="none" w:sz="0" w:space="0" w:color="auto"/>
        <w:right w:val="none" w:sz="0" w:space="0" w:color="auto"/>
      </w:divBdr>
    </w:div>
    <w:div w:id="496577593">
      <w:bodyDiv w:val="1"/>
      <w:marLeft w:val="0"/>
      <w:marRight w:val="0"/>
      <w:marTop w:val="0"/>
      <w:marBottom w:val="0"/>
      <w:divBdr>
        <w:top w:val="none" w:sz="0" w:space="0" w:color="auto"/>
        <w:left w:val="none" w:sz="0" w:space="0" w:color="auto"/>
        <w:bottom w:val="none" w:sz="0" w:space="0" w:color="auto"/>
        <w:right w:val="none" w:sz="0" w:space="0" w:color="auto"/>
      </w:divBdr>
    </w:div>
    <w:div w:id="556210127">
      <w:bodyDiv w:val="1"/>
      <w:marLeft w:val="0"/>
      <w:marRight w:val="0"/>
      <w:marTop w:val="0"/>
      <w:marBottom w:val="0"/>
      <w:divBdr>
        <w:top w:val="none" w:sz="0" w:space="0" w:color="auto"/>
        <w:left w:val="none" w:sz="0" w:space="0" w:color="auto"/>
        <w:bottom w:val="none" w:sz="0" w:space="0" w:color="auto"/>
        <w:right w:val="none" w:sz="0" w:space="0" w:color="auto"/>
      </w:divBdr>
    </w:div>
    <w:div w:id="808596168">
      <w:bodyDiv w:val="1"/>
      <w:marLeft w:val="0"/>
      <w:marRight w:val="0"/>
      <w:marTop w:val="0"/>
      <w:marBottom w:val="0"/>
      <w:divBdr>
        <w:top w:val="none" w:sz="0" w:space="0" w:color="auto"/>
        <w:left w:val="none" w:sz="0" w:space="0" w:color="auto"/>
        <w:bottom w:val="none" w:sz="0" w:space="0" w:color="auto"/>
        <w:right w:val="none" w:sz="0" w:space="0" w:color="auto"/>
      </w:divBdr>
    </w:div>
    <w:div w:id="836310466">
      <w:bodyDiv w:val="1"/>
      <w:marLeft w:val="0"/>
      <w:marRight w:val="0"/>
      <w:marTop w:val="0"/>
      <w:marBottom w:val="0"/>
      <w:divBdr>
        <w:top w:val="none" w:sz="0" w:space="0" w:color="auto"/>
        <w:left w:val="none" w:sz="0" w:space="0" w:color="auto"/>
        <w:bottom w:val="none" w:sz="0" w:space="0" w:color="auto"/>
        <w:right w:val="none" w:sz="0" w:space="0" w:color="auto"/>
      </w:divBdr>
    </w:div>
    <w:div w:id="837160681">
      <w:bodyDiv w:val="1"/>
      <w:marLeft w:val="0"/>
      <w:marRight w:val="0"/>
      <w:marTop w:val="0"/>
      <w:marBottom w:val="0"/>
      <w:divBdr>
        <w:top w:val="none" w:sz="0" w:space="0" w:color="auto"/>
        <w:left w:val="none" w:sz="0" w:space="0" w:color="auto"/>
        <w:bottom w:val="none" w:sz="0" w:space="0" w:color="auto"/>
        <w:right w:val="none" w:sz="0" w:space="0" w:color="auto"/>
      </w:divBdr>
    </w:div>
    <w:div w:id="1019964859">
      <w:bodyDiv w:val="1"/>
      <w:marLeft w:val="0"/>
      <w:marRight w:val="0"/>
      <w:marTop w:val="0"/>
      <w:marBottom w:val="0"/>
      <w:divBdr>
        <w:top w:val="none" w:sz="0" w:space="0" w:color="auto"/>
        <w:left w:val="none" w:sz="0" w:space="0" w:color="auto"/>
        <w:bottom w:val="none" w:sz="0" w:space="0" w:color="auto"/>
        <w:right w:val="none" w:sz="0" w:space="0" w:color="auto"/>
      </w:divBdr>
    </w:div>
    <w:div w:id="1073426541">
      <w:bodyDiv w:val="1"/>
      <w:marLeft w:val="0"/>
      <w:marRight w:val="0"/>
      <w:marTop w:val="0"/>
      <w:marBottom w:val="0"/>
      <w:divBdr>
        <w:top w:val="none" w:sz="0" w:space="0" w:color="auto"/>
        <w:left w:val="none" w:sz="0" w:space="0" w:color="auto"/>
        <w:bottom w:val="none" w:sz="0" w:space="0" w:color="auto"/>
        <w:right w:val="none" w:sz="0" w:space="0" w:color="auto"/>
      </w:divBdr>
    </w:div>
    <w:div w:id="1201668821">
      <w:bodyDiv w:val="1"/>
      <w:marLeft w:val="0"/>
      <w:marRight w:val="0"/>
      <w:marTop w:val="0"/>
      <w:marBottom w:val="0"/>
      <w:divBdr>
        <w:top w:val="none" w:sz="0" w:space="0" w:color="auto"/>
        <w:left w:val="none" w:sz="0" w:space="0" w:color="auto"/>
        <w:bottom w:val="none" w:sz="0" w:space="0" w:color="auto"/>
        <w:right w:val="none" w:sz="0" w:space="0" w:color="auto"/>
      </w:divBdr>
    </w:div>
    <w:div w:id="1230194990">
      <w:bodyDiv w:val="1"/>
      <w:marLeft w:val="0"/>
      <w:marRight w:val="0"/>
      <w:marTop w:val="0"/>
      <w:marBottom w:val="0"/>
      <w:divBdr>
        <w:top w:val="none" w:sz="0" w:space="0" w:color="auto"/>
        <w:left w:val="none" w:sz="0" w:space="0" w:color="auto"/>
        <w:bottom w:val="none" w:sz="0" w:space="0" w:color="auto"/>
        <w:right w:val="none" w:sz="0" w:space="0" w:color="auto"/>
      </w:divBdr>
    </w:div>
    <w:div w:id="1418096253">
      <w:bodyDiv w:val="1"/>
      <w:marLeft w:val="0"/>
      <w:marRight w:val="0"/>
      <w:marTop w:val="0"/>
      <w:marBottom w:val="0"/>
      <w:divBdr>
        <w:top w:val="none" w:sz="0" w:space="0" w:color="auto"/>
        <w:left w:val="none" w:sz="0" w:space="0" w:color="auto"/>
        <w:bottom w:val="none" w:sz="0" w:space="0" w:color="auto"/>
        <w:right w:val="none" w:sz="0" w:space="0" w:color="auto"/>
      </w:divBdr>
    </w:div>
    <w:div w:id="1438058984">
      <w:bodyDiv w:val="1"/>
      <w:marLeft w:val="0"/>
      <w:marRight w:val="0"/>
      <w:marTop w:val="0"/>
      <w:marBottom w:val="0"/>
      <w:divBdr>
        <w:top w:val="none" w:sz="0" w:space="0" w:color="auto"/>
        <w:left w:val="none" w:sz="0" w:space="0" w:color="auto"/>
        <w:bottom w:val="none" w:sz="0" w:space="0" w:color="auto"/>
        <w:right w:val="none" w:sz="0" w:space="0" w:color="auto"/>
      </w:divBdr>
    </w:div>
    <w:div w:id="1744255775">
      <w:bodyDiv w:val="1"/>
      <w:marLeft w:val="0"/>
      <w:marRight w:val="0"/>
      <w:marTop w:val="0"/>
      <w:marBottom w:val="0"/>
      <w:divBdr>
        <w:top w:val="none" w:sz="0" w:space="0" w:color="auto"/>
        <w:left w:val="none" w:sz="0" w:space="0" w:color="auto"/>
        <w:bottom w:val="none" w:sz="0" w:space="0" w:color="auto"/>
        <w:right w:val="none" w:sz="0" w:space="0" w:color="auto"/>
      </w:divBdr>
    </w:div>
    <w:div w:id="1925454929">
      <w:bodyDiv w:val="1"/>
      <w:marLeft w:val="0"/>
      <w:marRight w:val="0"/>
      <w:marTop w:val="0"/>
      <w:marBottom w:val="0"/>
      <w:divBdr>
        <w:top w:val="none" w:sz="0" w:space="0" w:color="auto"/>
        <w:left w:val="none" w:sz="0" w:space="0" w:color="auto"/>
        <w:bottom w:val="none" w:sz="0" w:space="0" w:color="auto"/>
        <w:right w:val="none" w:sz="0" w:space="0" w:color="auto"/>
      </w:divBdr>
    </w:div>
    <w:div w:id="1937786908">
      <w:bodyDiv w:val="1"/>
      <w:marLeft w:val="0"/>
      <w:marRight w:val="0"/>
      <w:marTop w:val="0"/>
      <w:marBottom w:val="0"/>
      <w:divBdr>
        <w:top w:val="none" w:sz="0" w:space="0" w:color="auto"/>
        <w:left w:val="none" w:sz="0" w:space="0" w:color="auto"/>
        <w:bottom w:val="none" w:sz="0" w:space="0" w:color="auto"/>
        <w:right w:val="none" w:sz="0" w:space="0" w:color="auto"/>
      </w:divBdr>
    </w:div>
    <w:div w:id="1966427228">
      <w:bodyDiv w:val="1"/>
      <w:marLeft w:val="0"/>
      <w:marRight w:val="0"/>
      <w:marTop w:val="0"/>
      <w:marBottom w:val="0"/>
      <w:divBdr>
        <w:top w:val="none" w:sz="0" w:space="0" w:color="auto"/>
        <w:left w:val="none" w:sz="0" w:space="0" w:color="auto"/>
        <w:bottom w:val="none" w:sz="0" w:space="0" w:color="auto"/>
        <w:right w:val="none" w:sz="0" w:space="0" w:color="auto"/>
      </w:divBdr>
    </w:div>
    <w:div w:id="2018575176">
      <w:bodyDiv w:val="1"/>
      <w:marLeft w:val="0"/>
      <w:marRight w:val="0"/>
      <w:marTop w:val="0"/>
      <w:marBottom w:val="0"/>
      <w:divBdr>
        <w:top w:val="none" w:sz="0" w:space="0" w:color="auto"/>
        <w:left w:val="none" w:sz="0" w:space="0" w:color="auto"/>
        <w:bottom w:val="none" w:sz="0" w:space="0" w:color="auto"/>
        <w:right w:val="none" w:sz="0" w:space="0" w:color="auto"/>
      </w:divBdr>
    </w:div>
    <w:div w:id="21398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DDDE31C3BCED40BDFEF716B4C0F3F3" ma:contentTypeVersion="10" ma:contentTypeDescription="Create a new document." ma:contentTypeScope="" ma:versionID="f099daba46e89bd08ddca3cb3b40753d">
  <xsd:schema xmlns:xsd="http://www.w3.org/2001/XMLSchema" xmlns:xs="http://www.w3.org/2001/XMLSchema" xmlns:p="http://schemas.microsoft.com/office/2006/metadata/properties" xmlns:ns3="f7a50660-fe84-43b5-8bd8-a16886a87162" xmlns:ns4="540fedff-6232-4131-8568-3b94caa9bfd3" targetNamespace="http://schemas.microsoft.com/office/2006/metadata/properties" ma:root="true" ma:fieldsID="d43849766587176100f76c3adab944c1" ns3:_="" ns4:_="">
    <xsd:import namespace="f7a50660-fe84-43b5-8bd8-a16886a87162"/>
    <xsd:import namespace="540fedff-6232-4131-8568-3b94caa9bfd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50660-fe84-43b5-8bd8-a16886a87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fedff-6232-4131-8568-3b94caa9bf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7a50660-fe84-43b5-8bd8-a16886a87162" xsi:nil="true"/>
  </documentManagement>
</p:properties>
</file>

<file path=customXml/itemProps1.xml><?xml version="1.0" encoding="utf-8"?>
<ds:datastoreItem xmlns:ds="http://schemas.openxmlformats.org/officeDocument/2006/customXml" ds:itemID="{A5613E48-CB8A-4E95-8E83-235D8530C7FF}">
  <ds:schemaRefs>
    <ds:schemaRef ds:uri="http://schemas.openxmlformats.org/officeDocument/2006/bibliography"/>
  </ds:schemaRefs>
</ds:datastoreItem>
</file>

<file path=customXml/itemProps2.xml><?xml version="1.0" encoding="utf-8"?>
<ds:datastoreItem xmlns:ds="http://schemas.openxmlformats.org/officeDocument/2006/customXml" ds:itemID="{559CE053-0575-40D9-8008-B6FEAB12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50660-fe84-43b5-8bd8-a16886a87162"/>
    <ds:schemaRef ds:uri="540fedff-6232-4131-8568-3b94caa9b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91B0A-4609-481A-B9B6-51AA58AD314E}">
  <ds:schemaRefs>
    <ds:schemaRef ds:uri="http://schemas.microsoft.com/sharepoint/v3/contenttype/forms"/>
  </ds:schemaRefs>
</ds:datastoreItem>
</file>

<file path=customXml/itemProps4.xml><?xml version="1.0" encoding="utf-8"?>
<ds:datastoreItem xmlns:ds="http://schemas.openxmlformats.org/officeDocument/2006/customXml" ds:itemID="{8CFFA72D-7D8B-4604-B83A-F22ED2F69D75}">
  <ds:schemaRefs>
    <ds:schemaRef ds:uri="http://purl.org/dc/elements/1.1/"/>
    <ds:schemaRef ds:uri="f7a50660-fe84-43b5-8bd8-a16886a87162"/>
    <ds:schemaRef ds:uri="http://schemas.openxmlformats.org/package/2006/metadata/core-properties"/>
    <ds:schemaRef ds:uri="http://schemas.microsoft.com/office/2006/documentManagement/types"/>
    <ds:schemaRef ds:uri="http://purl.org/dc/dcmitype/"/>
    <ds:schemaRef ds:uri="http://schemas.microsoft.com/office/2006/metadata/properties"/>
    <ds:schemaRef ds:uri="540fedff-6232-4131-8568-3b94caa9bfd3"/>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Canas, America</dc:creator>
  <cp:keywords/>
  <dc:description/>
  <cp:lastModifiedBy>Cerna, Mary</cp:lastModifiedBy>
  <cp:revision>2</cp:revision>
  <dcterms:created xsi:type="dcterms:W3CDTF">2023-09-07T20:56:00Z</dcterms:created>
  <dcterms:modified xsi:type="dcterms:W3CDTF">2023-09-07T20:56:00Z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0x010100F0DDDE31C3BCED40BDFEF716B4C0F3F3</vt:lpwstr>
  </property>
</Properties>
</file>